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D3D0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bookmarkStart w:id="0" w:name="_GoBack"/>
      <w:r w:rsidRPr="007D1549">
        <w:rPr>
          <w:rFonts w:eastAsia="Calibri" w:cstheme="minorHAnsi"/>
          <w:szCs w:val="24"/>
          <w:u w:color="000000"/>
          <w:lang w:eastAsia="pl-PL" w:bidi="pl-PL"/>
        </w:rPr>
        <w:t>Starostwo Powiatowe w Rawiczu</w:t>
      </w:r>
    </w:p>
    <w:p w14:paraId="1037B0AD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b/>
          <w:szCs w:val="24"/>
          <w:lang w:eastAsia="pl-PL" w:bidi="pl-PL"/>
        </w:rPr>
      </w:pPr>
      <w:r w:rsidRPr="007D1549">
        <w:rPr>
          <w:rFonts w:eastAsia="Calibri" w:cstheme="minorHAnsi"/>
          <w:szCs w:val="24"/>
          <w:u w:color="000000"/>
          <w:lang w:eastAsia="pl-PL" w:bidi="pl-PL"/>
        </w:rPr>
        <w:t>Nazwa komórki organizacyjnej:</w:t>
      </w:r>
      <w:r w:rsidRPr="007D1549">
        <w:rPr>
          <w:rFonts w:eastAsia="Calibri" w:cstheme="minorHAnsi"/>
          <w:b/>
          <w:szCs w:val="24"/>
          <w:lang w:eastAsia="pl-PL" w:bidi="pl-PL"/>
        </w:rPr>
        <w:t xml:space="preserve"> </w:t>
      </w:r>
      <w:r w:rsidRPr="007D1549">
        <w:rPr>
          <w:rFonts w:eastAsia="Calibri" w:cstheme="minorHAnsi"/>
          <w:szCs w:val="24"/>
          <w:lang w:eastAsia="pl-PL" w:bidi="pl-PL"/>
        </w:rPr>
        <w:t>Wydział Architektury, Budownictwa i Ochrony Środowiska</w:t>
      </w:r>
    </w:p>
    <w:p w14:paraId="438195B8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lang w:eastAsia="pl-PL" w:bidi="pl-PL"/>
        </w:rPr>
      </w:pPr>
      <w:r w:rsidRPr="007D1549">
        <w:rPr>
          <w:rFonts w:eastAsia="Calibri" w:cstheme="minorHAnsi"/>
          <w:szCs w:val="24"/>
          <w:u w:color="000000"/>
          <w:lang w:eastAsia="pl-PL" w:bidi="pl-PL"/>
        </w:rPr>
        <w:t>Adres:</w:t>
      </w:r>
      <w:r w:rsidRPr="007D1549">
        <w:rPr>
          <w:rFonts w:eastAsia="Calibri" w:cstheme="minorHAnsi"/>
          <w:szCs w:val="24"/>
          <w:lang w:eastAsia="pl-PL" w:bidi="pl-PL"/>
        </w:rPr>
        <w:t xml:space="preserve"> ul. Wały J. Dąbrowskiego 2, Rawicz 63-900</w:t>
      </w:r>
    </w:p>
    <w:p w14:paraId="5D598883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lang w:val="pt-BR" w:eastAsia="pl-PL" w:bidi="pl-PL"/>
        </w:rPr>
      </w:pPr>
      <w:r w:rsidRPr="007D1549">
        <w:rPr>
          <w:rFonts w:eastAsia="Calibri" w:cstheme="minorHAnsi"/>
          <w:szCs w:val="24"/>
          <w:u w:color="000000"/>
          <w:lang w:val="en-US" w:eastAsia="pl-PL" w:bidi="pl-PL"/>
        </w:rPr>
        <w:t>E-mail/</w:t>
      </w:r>
      <w:proofErr w:type="spellStart"/>
      <w:r w:rsidRPr="007D1549">
        <w:rPr>
          <w:rFonts w:eastAsia="Calibri" w:cstheme="minorHAnsi"/>
          <w:szCs w:val="24"/>
          <w:u w:color="000000"/>
          <w:lang w:val="en-US" w:eastAsia="pl-PL" w:bidi="pl-PL"/>
        </w:rPr>
        <w:t>Numer</w:t>
      </w:r>
      <w:proofErr w:type="spellEnd"/>
      <w:r w:rsidRPr="007D1549">
        <w:rPr>
          <w:rFonts w:eastAsia="Calibri" w:cstheme="minorHAnsi"/>
          <w:szCs w:val="24"/>
          <w:u w:color="000000"/>
          <w:lang w:val="en-US" w:eastAsia="pl-PL" w:bidi="pl-PL"/>
        </w:rPr>
        <w:t xml:space="preserve"> </w:t>
      </w:r>
      <w:proofErr w:type="spellStart"/>
      <w:r w:rsidRPr="007D1549">
        <w:rPr>
          <w:rFonts w:eastAsia="Calibri" w:cstheme="minorHAnsi"/>
          <w:szCs w:val="24"/>
          <w:u w:color="000000"/>
          <w:lang w:val="en-US" w:eastAsia="pl-PL" w:bidi="pl-PL"/>
        </w:rPr>
        <w:t>telefonu</w:t>
      </w:r>
      <w:proofErr w:type="spellEnd"/>
      <w:r w:rsidRPr="007D1549">
        <w:rPr>
          <w:rFonts w:eastAsia="Calibri" w:cstheme="minorHAnsi"/>
          <w:szCs w:val="24"/>
          <w:u w:color="000000"/>
          <w:lang w:val="en-US" w:eastAsia="pl-PL" w:bidi="pl-PL"/>
        </w:rPr>
        <w:t>:</w:t>
      </w:r>
      <w:r w:rsidRPr="007D1549">
        <w:rPr>
          <w:rFonts w:eastAsia="Calibri" w:cstheme="minorHAnsi"/>
          <w:szCs w:val="24"/>
          <w:lang w:val="en-US" w:eastAsia="pl-PL" w:bidi="pl-PL"/>
        </w:rPr>
        <w:t xml:space="preserve"> </w:t>
      </w:r>
      <w:r w:rsidR="006B2573">
        <w:fldChar w:fldCharType="begin"/>
      </w:r>
      <w:r w:rsidR="006B2573" w:rsidRPr="006B2573">
        <w:rPr>
          <w:lang w:val="en-US"/>
        </w:rPr>
        <w:instrText xml:space="preserve"> HYPERLINK "mailto:budownictwo@powiatrawicki.pl" </w:instrText>
      </w:r>
      <w:r w:rsidR="006B2573">
        <w:fldChar w:fldCharType="separate"/>
      </w:r>
      <w:r w:rsidRPr="007D1549">
        <w:rPr>
          <w:rFonts w:eastAsia="Calibri" w:cstheme="minorHAnsi"/>
          <w:szCs w:val="24"/>
          <w:lang w:val="pt-BR" w:eastAsia="pl-PL" w:bidi="pl-PL"/>
        </w:rPr>
        <w:t>budownictwo@powiatrawicki.pl</w:t>
      </w:r>
      <w:r w:rsidR="006B2573">
        <w:rPr>
          <w:rFonts w:eastAsia="Calibri" w:cstheme="minorHAnsi"/>
          <w:szCs w:val="24"/>
          <w:lang w:val="pt-BR" w:eastAsia="pl-PL" w:bidi="pl-PL"/>
        </w:rPr>
        <w:fldChar w:fldCharType="end"/>
      </w:r>
      <w:r w:rsidRPr="007D1549">
        <w:rPr>
          <w:rFonts w:eastAsia="Calibri" w:cstheme="minorHAnsi"/>
          <w:szCs w:val="24"/>
          <w:lang w:val="en-US" w:eastAsia="pl-PL" w:bidi="pl-PL"/>
        </w:rPr>
        <w:t>/tel. 65 322 40 06</w:t>
      </w:r>
    </w:p>
    <w:p w14:paraId="4ED6ED2B" w14:textId="5882317C" w:rsidR="009566F5" w:rsidRPr="007D1549" w:rsidRDefault="00FB3C3E" w:rsidP="006B2573">
      <w:pPr>
        <w:suppressAutoHyphens/>
        <w:spacing w:line="360" w:lineRule="auto"/>
        <w:jc w:val="center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t>Karta usługi</w:t>
      </w: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br/>
      </w:r>
      <w:r w:rsidR="009566F5" w:rsidRPr="007D1549">
        <w:rPr>
          <w:b/>
          <w:szCs w:val="24"/>
        </w:rPr>
        <w:t>Przedłożenie wyników pomiarów wielkości emisji</w:t>
      </w:r>
    </w:p>
    <w:p w14:paraId="265573D3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szCs w:val="24"/>
          <w:u w:color="000000"/>
          <w:lang w:eastAsia="pl-PL" w:bidi="pl-PL"/>
        </w:rPr>
        <w:t xml:space="preserve">Numer referencyjny: </w:t>
      </w:r>
      <w:r w:rsidRPr="007D1549">
        <w:rPr>
          <w:rFonts w:eastAsia="Calibri" w:cstheme="minorHAnsi"/>
          <w:szCs w:val="24"/>
          <w:lang w:eastAsia="pl-PL" w:bidi="pl-PL"/>
        </w:rPr>
        <w:t xml:space="preserve">ABŚ – </w:t>
      </w:r>
      <w:r w:rsidR="009566F5" w:rsidRPr="007D1549">
        <w:rPr>
          <w:rFonts w:eastAsia="Calibri" w:cstheme="minorHAnsi"/>
          <w:szCs w:val="24"/>
          <w:lang w:eastAsia="pl-PL" w:bidi="pl-PL"/>
        </w:rPr>
        <w:t>20</w:t>
      </w:r>
    </w:p>
    <w:p w14:paraId="37491A07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szCs w:val="24"/>
          <w:u w:color="000000"/>
          <w:lang w:eastAsia="pl-PL" w:bidi="pl-PL"/>
        </w:rPr>
        <w:t>Załączniki:</w:t>
      </w:r>
      <w:r w:rsidRPr="007D1549">
        <w:rPr>
          <w:rFonts w:eastAsia="Calibri" w:cstheme="minorHAnsi"/>
          <w:b/>
          <w:szCs w:val="24"/>
          <w:lang w:eastAsia="pl-PL" w:bidi="pl-PL"/>
        </w:rPr>
        <w:t xml:space="preserve"> </w:t>
      </w:r>
      <w:r w:rsidRPr="007D1549">
        <w:rPr>
          <w:rFonts w:eastAsia="Calibri" w:cstheme="minorHAnsi"/>
          <w:szCs w:val="24"/>
          <w:lang w:eastAsia="pl-PL" w:bidi="pl-PL"/>
        </w:rPr>
        <w:t>-</w:t>
      </w:r>
      <w:r w:rsidRPr="007D1549">
        <w:rPr>
          <w:rFonts w:eastAsia="Calibri" w:cstheme="minorHAnsi"/>
          <w:b/>
          <w:szCs w:val="24"/>
          <w:lang w:eastAsia="pl-PL" w:bidi="pl-PL"/>
        </w:rPr>
        <w:t xml:space="preserve"> </w:t>
      </w:r>
    </w:p>
    <w:p w14:paraId="0A78571D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b/>
          <w:szCs w:val="24"/>
          <w:lang w:eastAsia="pl-PL" w:bidi="pl-PL"/>
        </w:rPr>
      </w:pPr>
      <w:r w:rsidRPr="007D1549">
        <w:rPr>
          <w:rFonts w:eastAsia="Calibri" w:cstheme="minorHAnsi"/>
          <w:b/>
          <w:szCs w:val="24"/>
          <w:lang w:eastAsia="pl-PL" w:bidi="pl-PL"/>
        </w:rPr>
        <w:t>Podstawa prawna:</w:t>
      </w:r>
    </w:p>
    <w:p w14:paraId="519FB19A" w14:textId="77777777" w:rsidR="00797BAC" w:rsidRPr="007D1549" w:rsidRDefault="00797BAC" w:rsidP="006B2573">
      <w:pPr>
        <w:pStyle w:val="Akapitzlist"/>
        <w:numPr>
          <w:ilvl w:val="0"/>
          <w:numId w:val="8"/>
        </w:numPr>
        <w:spacing w:line="360" w:lineRule="auto"/>
        <w:ind w:left="227" w:hanging="227"/>
        <w:rPr>
          <w:rFonts w:eastAsia="Times New Roman" w:cstheme="minorHAnsi"/>
          <w:szCs w:val="24"/>
        </w:rPr>
      </w:pPr>
      <w:r w:rsidRPr="007D1549">
        <w:rPr>
          <w:rFonts w:eastAsia="Times New Roman" w:cstheme="minorHAnsi"/>
          <w:szCs w:val="24"/>
        </w:rPr>
        <w:t xml:space="preserve"> </w:t>
      </w:r>
      <w:r w:rsidR="009566F5" w:rsidRPr="007D1549">
        <w:rPr>
          <w:rFonts w:eastAsia="Times New Roman" w:cstheme="minorHAnsi"/>
          <w:szCs w:val="24"/>
        </w:rPr>
        <w:t xml:space="preserve">art. 149 ust. 1 ustawy z dnia 27 kwietnia 2001 r. Prawo ochrony środowiska (Dz. U. z 2022 r. poz. 2556 z </w:t>
      </w:r>
      <w:proofErr w:type="spellStart"/>
      <w:r w:rsidR="009566F5" w:rsidRPr="007D1549">
        <w:rPr>
          <w:rFonts w:eastAsia="Times New Roman" w:cstheme="minorHAnsi"/>
          <w:szCs w:val="24"/>
        </w:rPr>
        <w:t>późn</w:t>
      </w:r>
      <w:proofErr w:type="spellEnd"/>
      <w:r w:rsidR="009566F5" w:rsidRPr="007D1549">
        <w:rPr>
          <w:rFonts w:eastAsia="Times New Roman" w:cstheme="minorHAnsi"/>
          <w:szCs w:val="24"/>
        </w:rPr>
        <w:t>. zm.),</w:t>
      </w:r>
    </w:p>
    <w:p w14:paraId="700343AD" w14:textId="766D4545" w:rsidR="009566F5" w:rsidRPr="007D1549" w:rsidRDefault="00797BAC" w:rsidP="006B2573">
      <w:pPr>
        <w:pStyle w:val="Akapitzlist"/>
        <w:numPr>
          <w:ilvl w:val="0"/>
          <w:numId w:val="8"/>
        </w:numPr>
        <w:spacing w:line="360" w:lineRule="auto"/>
        <w:ind w:left="227" w:hanging="227"/>
        <w:rPr>
          <w:rFonts w:eastAsia="Times New Roman" w:cstheme="minorHAnsi"/>
          <w:szCs w:val="24"/>
        </w:rPr>
      </w:pPr>
      <w:r w:rsidRPr="007D1549">
        <w:rPr>
          <w:rFonts w:eastAsia="Times New Roman" w:cstheme="minorHAnsi"/>
          <w:szCs w:val="24"/>
        </w:rPr>
        <w:t xml:space="preserve"> </w:t>
      </w:r>
      <w:r w:rsidR="009566F5" w:rsidRPr="007D1549">
        <w:rPr>
          <w:rFonts w:eastAsia="TimesNewRomanPSMT" w:cstheme="minorHAnsi"/>
          <w:szCs w:val="24"/>
        </w:rPr>
        <w:t>rozporządzenie Ministra Klimatu i Środowiska z dnia 15 grudnia 2020 r. w sprawie rodzajów wyników pomiarów prowadzonych w związku z eksploatacją instalacji lub urządzenia i innych danych zbieranych w wyniku monitorowania procesów technologicznych oraz terminów i sposobów prezentacji (Dz. U. z 2020 r. poz. 2405).</w:t>
      </w:r>
    </w:p>
    <w:p w14:paraId="48483211" w14:textId="77777777" w:rsidR="00FB3C3E" w:rsidRPr="007D1549" w:rsidRDefault="00FB3C3E" w:rsidP="006B2573">
      <w:pPr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t>Wykaz potrzebnych dokumentów:</w:t>
      </w:r>
    </w:p>
    <w:p w14:paraId="5C314148" w14:textId="77777777" w:rsidR="00ED155A" w:rsidRPr="007D1549" w:rsidRDefault="009566F5" w:rsidP="006B2573">
      <w:pPr>
        <w:pStyle w:val="Akapitzlist"/>
        <w:numPr>
          <w:ilvl w:val="0"/>
          <w:numId w:val="5"/>
        </w:numPr>
        <w:tabs>
          <w:tab w:val="left" w:pos="-1080"/>
        </w:tabs>
        <w:suppressAutoHyphens/>
        <w:snapToGrid w:val="0"/>
        <w:spacing w:line="360" w:lineRule="auto"/>
        <w:ind w:left="227" w:hanging="227"/>
        <w:rPr>
          <w:rFonts w:eastAsia="Times New Roman" w:cstheme="minorHAnsi"/>
          <w:color w:val="000000"/>
          <w:szCs w:val="24"/>
          <w:lang w:eastAsia="ar-SA"/>
        </w:rPr>
      </w:pPr>
      <w:r w:rsidRPr="007D1549">
        <w:rPr>
          <w:rFonts w:eastAsia="Times New Roman" w:cstheme="minorHAnsi"/>
          <w:color w:val="000000"/>
          <w:szCs w:val="24"/>
          <w:lang w:eastAsia="ar-SA"/>
        </w:rPr>
        <w:t>wyniki ciągłych i okresowych pomiarów emisji substancji lub ener</w:t>
      </w:r>
      <w:r w:rsidR="00853DA3" w:rsidRPr="007D1549">
        <w:rPr>
          <w:rFonts w:eastAsia="Times New Roman" w:cstheme="minorHAnsi"/>
          <w:color w:val="000000"/>
          <w:szCs w:val="24"/>
          <w:lang w:eastAsia="ar-SA"/>
        </w:rPr>
        <w:t>gii wprowadzanej</w:t>
      </w:r>
      <w:r w:rsidRPr="007D1549">
        <w:rPr>
          <w:rFonts w:eastAsia="Times New Roman" w:cstheme="minorHAnsi"/>
          <w:color w:val="000000"/>
          <w:szCs w:val="24"/>
          <w:lang w:eastAsia="ar-SA"/>
        </w:rPr>
        <w:t xml:space="preserve"> do środowiska należy przedkładać w formie pisemnej,</w:t>
      </w:r>
    </w:p>
    <w:p w14:paraId="76782E37" w14:textId="77777777" w:rsidR="00ED155A" w:rsidRPr="007D1549" w:rsidRDefault="009566F5" w:rsidP="006B2573">
      <w:pPr>
        <w:pStyle w:val="Akapitzlist"/>
        <w:numPr>
          <w:ilvl w:val="0"/>
          <w:numId w:val="5"/>
        </w:numPr>
        <w:tabs>
          <w:tab w:val="left" w:pos="-1080"/>
        </w:tabs>
        <w:suppressAutoHyphens/>
        <w:snapToGrid w:val="0"/>
        <w:spacing w:line="360" w:lineRule="auto"/>
        <w:ind w:left="227" w:hanging="227"/>
        <w:rPr>
          <w:rFonts w:eastAsia="Times New Roman" w:cstheme="minorHAnsi"/>
          <w:color w:val="000000"/>
          <w:szCs w:val="24"/>
          <w:lang w:eastAsia="ar-SA"/>
        </w:rPr>
      </w:pPr>
      <w:r w:rsidRPr="007D1549">
        <w:rPr>
          <w:rFonts w:eastAsia="Times New Roman" w:cstheme="minorHAnsi"/>
          <w:color w:val="000000"/>
          <w:szCs w:val="24"/>
          <w:lang w:eastAsia="ar-SA"/>
        </w:rPr>
        <w:t>wyniki ciągłych pomiarów emisji substancji do powietrza przekazuje się w układzie obejmującym wyniki pomiarów, bilans ładunków substancji wprowad</w:t>
      </w:r>
      <w:r w:rsidR="00853DA3" w:rsidRPr="007D1549">
        <w:rPr>
          <w:rFonts w:eastAsia="Times New Roman" w:cstheme="minorHAnsi"/>
          <w:color w:val="000000"/>
          <w:szCs w:val="24"/>
          <w:lang w:eastAsia="ar-SA"/>
        </w:rPr>
        <w:t xml:space="preserve">zonych  </w:t>
      </w:r>
      <w:r w:rsidRPr="007D1549">
        <w:rPr>
          <w:rFonts w:eastAsia="Times New Roman" w:cstheme="minorHAnsi"/>
          <w:color w:val="000000"/>
          <w:szCs w:val="24"/>
          <w:lang w:eastAsia="ar-SA"/>
        </w:rPr>
        <w:t>do powietrza oraz analizę statystyczną wyników w odniesieniu do dopuszczalnych do wprowadzenia do powietrza ilości substancji zanieczyszczających, w oparc</w:t>
      </w:r>
      <w:r w:rsidR="00853DA3" w:rsidRPr="007D1549">
        <w:rPr>
          <w:rFonts w:eastAsia="Times New Roman" w:cstheme="minorHAnsi"/>
          <w:color w:val="000000"/>
          <w:szCs w:val="24"/>
          <w:lang w:eastAsia="ar-SA"/>
        </w:rPr>
        <w:t xml:space="preserve">iu    </w:t>
      </w:r>
      <w:r w:rsidR="000E3D00" w:rsidRPr="007D1549">
        <w:rPr>
          <w:rFonts w:eastAsia="Times New Roman" w:cstheme="minorHAnsi"/>
          <w:color w:val="000000"/>
          <w:szCs w:val="24"/>
          <w:lang w:eastAsia="ar-SA"/>
        </w:rPr>
        <w:t>o </w:t>
      </w:r>
      <w:r w:rsidRPr="007D1549">
        <w:rPr>
          <w:rFonts w:eastAsia="Times New Roman" w:cstheme="minorHAnsi"/>
          <w:color w:val="000000"/>
          <w:szCs w:val="24"/>
          <w:lang w:eastAsia="ar-SA"/>
        </w:rPr>
        <w:t>oprogramowanie będące elementem systemu do ciągłego pomiaru emisji,</w:t>
      </w:r>
    </w:p>
    <w:p w14:paraId="00C7F7E7" w14:textId="77777777" w:rsidR="00ED155A" w:rsidRPr="007D1549" w:rsidRDefault="009566F5" w:rsidP="006B2573">
      <w:pPr>
        <w:pStyle w:val="Akapitzlist"/>
        <w:numPr>
          <w:ilvl w:val="0"/>
          <w:numId w:val="5"/>
        </w:numPr>
        <w:tabs>
          <w:tab w:val="left" w:pos="-1080"/>
        </w:tabs>
        <w:suppressAutoHyphens/>
        <w:snapToGrid w:val="0"/>
        <w:spacing w:line="360" w:lineRule="auto"/>
        <w:ind w:left="227" w:hanging="227"/>
        <w:rPr>
          <w:rFonts w:eastAsia="Times New Roman" w:cstheme="minorHAnsi"/>
          <w:color w:val="000000"/>
          <w:szCs w:val="24"/>
          <w:lang w:eastAsia="ar-SA"/>
        </w:rPr>
      </w:pPr>
      <w:r w:rsidRPr="007D1549">
        <w:rPr>
          <w:rFonts w:eastAsia="Times New Roman" w:cstheme="minorHAnsi"/>
          <w:color w:val="000000"/>
          <w:szCs w:val="24"/>
          <w:lang w:eastAsia="ar-SA"/>
        </w:rPr>
        <w:t>układ wyników okresowych pomiarów emisji substancji do powietrza oraz inne dane, które należy przekazywać wraz z wynikami pomiarów emisji substancji do powietrza określa załącznik nr 1 do ww. rozporządzenia,</w:t>
      </w:r>
    </w:p>
    <w:p w14:paraId="135738E8" w14:textId="77777777" w:rsidR="00ED155A" w:rsidRPr="007D1549" w:rsidRDefault="009566F5" w:rsidP="006B2573">
      <w:pPr>
        <w:pStyle w:val="Akapitzlist"/>
        <w:numPr>
          <w:ilvl w:val="0"/>
          <w:numId w:val="5"/>
        </w:numPr>
        <w:tabs>
          <w:tab w:val="left" w:pos="-1080"/>
        </w:tabs>
        <w:suppressAutoHyphens/>
        <w:snapToGrid w:val="0"/>
        <w:spacing w:line="360" w:lineRule="auto"/>
        <w:ind w:left="227" w:hanging="227"/>
        <w:rPr>
          <w:rFonts w:eastAsia="Times New Roman" w:cstheme="minorHAnsi"/>
          <w:color w:val="000000"/>
          <w:szCs w:val="24"/>
          <w:lang w:eastAsia="ar-SA"/>
        </w:rPr>
      </w:pPr>
      <w:r w:rsidRPr="007D1549">
        <w:rPr>
          <w:rFonts w:eastAsia="Times New Roman" w:cstheme="minorHAnsi"/>
          <w:color w:val="000000"/>
          <w:szCs w:val="24"/>
          <w:lang w:eastAsia="ar-SA"/>
        </w:rPr>
        <w:t>układ wyników okresowych pomiarów hałasu w środowisku pochodzącego od instalacji lub urządzeń, z wyjątkiem hałasu impulsowego określa załącznik nr 2</w:t>
      </w:r>
      <w:r w:rsidR="00853DA3" w:rsidRPr="007D1549">
        <w:rPr>
          <w:rFonts w:eastAsia="Times New Roman" w:cstheme="minorHAnsi"/>
          <w:color w:val="000000"/>
          <w:szCs w:val="24"/>
          <w:lang w:eastAsia="ar-SA"/>
        </w:rPr>
        <w:t xml:space="preserve"> </w:t>
      </w:r>
      <w:r w:rsidRPr="007D1549">
        <w:rPr>
          <w:rFonts w:eastAsia="Times New Roman" w:cstheme="minorHAnsi"/>
          <w:color w:val="000000"/>
          <w:szCs w:val="24"/>
          <w:lang w:eastAsia="ar-SA"/>
        </w:rPr>
        <w:t>do ww. rozporządzenia,</w:t>
      </w:r>
    </w:p>
    <w:p w14:paraId="50451C8F" w14:textId="77777777" w:rsidR="00ED155A" w:rsidRPr="007D1549" w:rsidRDefault="009566F5" w:rsidP="006B2573">
      <w:pPr>
        <w:pStyle w:val="Akapitzlist"/>
        <w:numPr>
          <w:ilvl w:val="0"/>
          <w:numId w:val="5"/>
        </w:numPr>
        <w:tabs>
          <w:tab w:val="left" w:pos="-1080"/>
        </w:tabs>
        <w:suppressAutoHyphens/>
        <w:snapToGrid w:val="0"/>
        <w:spacing w:line="360" w:lineRule="auto"/>
        <w:ind w:left="227" w:hanging="227"/>
        <w:rPr>
          <w:rFonts w:eastAsia="Times New Roman" w:cstheme="minorHAnsi"/>
          <w:color w:val="000000"/>
          <w:szCs w:val="24"/>
          <w:lang w:eastAsia="ar-SA"/>
        </w:rPr>
      </w:pPr>
      <w:r w:rsidRPr="007D1549">
        <w:rPr>
          <w:rFonts w:eastAsia="Times New Roman" w:cstheme="minorHAnsi"/>
          <w:color w:val="000000"/>
          <w:szCs w:val="24"/>
          <w:lang w:eastAsia="ar-SA"/>
        </w:rPr>
        <w:lastRenderedPageBreak/>
        <w:t>układ przekazywanych wyników okresow</w:t>
      </w:r>
      <w:r w:rsidR="00853DA3" w:rsidRPr="007D1549">
        <w:rPr>
          <w:rFonts w:eastAsia="Times New Roman" w:cstheme="minorHAnsi"/>
          <w:color w:val="000000"/>
          <w:szCs w:val="24"/>
          <w:lang w:eastAsia="ar-SA"/>
        </w:rPr>
        <w:t xml:space="preserve">ych pomiarów hałasu impulsowego </w:t>
      </w:r>
      <w:r w:rsidRPr="007D1549">
        <w:rPr>
          <w:rFonts w:eastAsia="Times New Roman" w:cstheme="minorHAnsi"/>
          <w:color w:val="000000"/>
          <w:szCs w:val="24"/>
          <w:lang w:eastAsia="ar-SA"/>
        </w:rPr>
        <w:t xml:space="preserve">w </w:t>
      </w:r>
      <w:r w:rsidR="000E3D00" w:rsidRPr="007D1549">
        <w:rPr>
          <w:rFonts w:eastAsia="Times New Roman" w:cstheme="minorHAnsi"/>
          <w:color w:val="000000"/>
          <w:szCs w:val="24"/>
          <w:lang w:eastAsia="ar-SA"/>
        </w:rPr>
        <w:t>środowisku określa załącznik nr </w:t>
      </w:r>
      <w:r w:rsidRPr="007D1549">
        <w:rPr>
          <w:rFonts w:eastAsia="Times New Roman" w:cstheme="minorHAnsi"/>
          <w:color w:val="000000"/>
          <w:szCs w:val="24"/>
          <w:lang w:eastAsia="ar-SA"/>
        </w:rPr>
        <w:t>3 do ww. rozporządzenia,</w:t>
      </w:r>
      <w:r w:rsidR="00853DA3" w:rsidRPr="007D1549">
        <w:rPr>
          <w:rFonts w:eastAsia="Times New Roman" w:cstheme="minorHAnsi"/>
          <w:color w:val="000000"/>
          <w:szCs w:val="24"/>
          <w:lang w:eastAsia="ar-SA"/>
        </w:rPr>
        <w:t xml:space="preserve"> </w:t>
      </w:r>
      <w:r w:rsidRPr="007D1549">
        <w:rPr>
          <w:rFonts w:eastAsia="Times New Roman" w:cstheme="minorHAnsi"/>
          <w:szCs w:val="24"/>
        </w:rPr>
        <w:t xml:space="preserve">jeżeli istnieją możliwości techniczne i ekonomiczne, </w:t>
      </w:r>
    </w:p>
    <w:p w14:paraId="0DDF5B5B" w14:textId="0C6D182D" w:rsidR="009566F5" w:rsidRPr="007D1549" w:rsidRDefault="009566F5" w:rsidP="006B2573">
      <w:pPr>
        <w:pStyle w:val="Akapitzlist"/>
        <w:numPr>
          <w:ilvl w:val="0"/>
          <w:numId w:val="5"/>
        </w:numPr>
        <w:tabs>
          <w:tab w:val="left" w:pos="-1080"/>
        </w:tabs>
        <w:suppressAutoHyphens/>
        <w:snapToGrid w:val="0"/>
        <w:spacing w:line="360" w:lineRule="auto"/>
        <w:ind w:left="227" w:hanging="227"/>
        <w:rPr>
          <w:rFonts w:eastAsia="Times New Roman" w:cstheme="minorHAnsi"/>
          <w:color w:val="000000"/>
          <w:szCs w:val="24"/>
          <w:lang w:eastAsia="ar-SA"/>
        </w:rPr>
      </w:pPr>
      <w:r w:rsidRPr="007D1549">
        <w:rPr>
          <w:rFonts w:eastAsia="Times New Roman" w:cstheme="minorHAnsi"/>
          <w:szCs w:val="24"/>
        </w:rPr>
        <w:t>wyniki ciągłych pomiarów emisji substancji lub energii wprowadzanej do środowiska mogą być przedkł</w:t>
      </w:r>
      <w:r w:rsidR="00853DA3" w:rsidRPr="007D1549">
        <w:rPr>
          <w:rFonts w:eastAsia="Times New Roman" w:cstheme="minorHAnsi"/>
          <w:szCs w:val="24"/>
        </w:rPr>
        <w:t xml:space="preserve">adane  </w:t>
      </w:r>
      <w:r w:rsidRPr="007D1549">
        <w:rPr>
          <w:rFonts w:eastAsia="Times New Roman" w:cstheme="minorHAnsi"/>
          <w:szCs w:val="24"/>
        </w:rPr>
        <w:t>za pośrednictwem publicznych sieci telekomunikacyjnych w rozumieniu ustawy Prawo telekomunikacyjne;</w:t>
      </w:r>
    </w:p>
    <w:p w14:paraId="4CC06815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t>Wysokość opłat:</w:t>
      </w:r>
    </w:p>
    <w:p w14:paraId="0C65C60C" w14:textId="77777777" w:rsidR="00C928FB" w:rsidRPr="007D1549" w:rsidRDefault="00853DA3" w:rsidP="006B2573">
      <w:pPr>
        <w:suppressAutoHyphens/>
        <w:spacing w:line="360" w:lineRule="auto"/>
        <w:rPr>
          <w:szCs w:val="24"/>
        </w:rPr>
      </w:pPr>
      <w:r w:rsidRPr="007D1549">
        <w:rPr>
          <w:szCs w:val="24"/>
        </w:rPr>
        <w:t>nie podlega opłacie</w:t>
      </w:r>
      <w:r w:rsidR="000B0641" w:rsidRPr="007D1549">
        <w:rPr>
          <w:szCs w:val="24"/>
        </w:rPr>
        <w:t>.</w:t>
      </w:r>
    </w:p>
    <w:p w14:paraId="376B7AB9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t>Dokładne określenie miejsca wykonania usługi:</w:t>
      </w:r>
    </w:p>
    <w:p w14:paraId="314FE62C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lang w:eastAsia="pl-PL" w:bidi="pl-PL"/>
        </w:rPr>
      </w:pPr>
      <w:r w:rsidRPr="007D1549">
        <w:rPr>
          <w:rFonts w:eastAsia="Calibri" w:cstheme="minorHAnsi"/>
          <w:szCs w:val="24"/>
          <w:lang w:eastAsia="pl-PL" w:bidi="pl-PL"/>
        </w:rPr>
        <w:t>Rawicz, ul. Wały J. Dąbrowskiego 2, pokój nr 19 (I piętro) godziny urzędowania wydziału:</w:t>
      </w:r>
    </w:p>
    <w:p w14:paraId="613DED17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lang w:eastAsia="pl-PL" w:bidi="pl-PL"/>
        </w:rPr>
      </w:pPr>
      <w:r w:rsidRPr="007D1549">
        <w:rPr>
          <w:rFonts w:eastAsia="Calibri" w:cstheme="minorHAnsi"/>
          <w:szCs w:val="24"/>
          <w:lang w:eastAsia="pl-PL" w:bidi="pl-PL"/>
        </w:rPr>
        <w:t>poniedziałek: 8</w:t>
      </w:r>
      <w:r w:rsidRPr="007D1549">
        <w:rPr>
          <w:rFonts w:eastAsia="Calibri" w:cstheme="minorHAnsi"/>
          <w:szCs w:val="24"/>
          <w:vertAlign w:val="superscript"/>
          <w:lang w:eastAsia="pl-PL" w:bidi="pl-PL"/>
        </w:rPr>
        <w:t>00</w:t>
      </w:r>
      <w:r w:rsidRPr="007D1549">
        <w:rPr>
          <w:rFonts w:eastAsia="Calibri" w:cstheme="minorHAnsi"/>
          <w:szCs w:val="24"/>
          <w:lang w:eastAsia="pl-PL" w:bidi="pl-PL"/>
        </w:rPr>
        <w:t>-16</w:t>
      </w:r>
      <w:r w:rsidRPr="007D1549">
        <w:rPr>
          <w:rFonts w:eastAsia="Calibri" w:cstheme="minorHAnsi"/>
          <w:szCs w:val="24"/>
          <w:vertAlign w:val="superscript"/>
          <w:lang w:eastAsia="pl-PL" w:bidi="pl-PL"/>
        </w:rPr>
        <w:t>00</w:t>
      </w:r>
      <w:r w:rsidRPr="007D1549">
        <w:rPr>
          <w:rFonts w:eastAsia="Calibri" w:cstheme="minorHAnsi"/>
          <w:szCs w:val="24"/>
          <w:lang w:eastAsia="pl-PL" w:bidi="pl-PL"/>
        </w:rPr>
        <w:t>, wtorek- piątek: 7</w:t>
      </w:r>
      <w:r w:rsidRPr="007D1549">
        <w:rPr>
          <w:rFonts w:eastAsia="Calibri" w:cstheme="minorHAnsi"/>
          <w:szCs w:val="24"/>
          <w:vertAlign w:val="superscript"/>
          <w:lang w:eastAsia="pl-PL" w:bidi="pl-PL"/>
        </w:rPr>
        <w:t>00</w:t>
      </w:r>
      <w:r w:rsidRPr="007D1549">
        <w:rPr>
          <w:rFonts w:eastAsia="Calibri" w:cstheme="minorHAnsi"/>
          <w:szCs w:val="24"/>
          <w:lang w:eastAsia="pl-PL" w:bidi="pl-PL"/>
        </w:rPr>
        <w:t>-15</w:t>
      </w:r>
      <w:r w:rsidRPr="007D1549">
        <w:rPr>
          <w:rFonts w:eastAsia="Calibri" w:cstheme="minorHAnsi"/>
          <w:szCs w:val="24"/>
          <w:vertAlign w:val="superscript"/>
          <w:lang w:eastAsia="pl-PL" w:bidi="pl-PL"/>
        </w:rPr>
        <w:t>00</w:t>
      </w:r>
      <w:r w:rsidR="000B0641" w:rsidRPr="007D1549">
        <w:rPr>
          <w:rFonts w:eastAsia="Calibri" w:cstheme="minorHAnsi"/>
          <w:szCs w:val="24"/>
          <w:lang w:eastAsia="pl-PL" w:bidi="pl-PL"/>
        </w:rPr>
        <w:t>.</w:t>
      </w:r>
    </w:p>
    <w:p w14:paraId="1FBD73A8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t>Określenie czasu realizacji usługi:</w:t>
      </w:r>
    </w:p>
    <w:p w14:paraId="420AC7E0" w14:textId="77777777" w:rsidR="00FB3C3E" w:rsidRPr="007D1549" w:rsidRDefault="00C928FB" w:rsidP="006B2573">
      <w:pPr>
        <w:suppressAutoHyphens/>
        <w:spacing w:line="360" w:lineRule="auto"/>
        <w:rPr>
          <w:rFonts w:eastAsia="Times New Roman" w:cstheme="minorHAnsi"/>
          <w:szCs w:val="24"/>
          <w:lang w:eastAsia="ar-SA"/>
        </w:rPr>
      </w:pPr>
      <w:r w:rsidRPr="007D1549">
        <w:rPr>
          <w:rFonts w:eastAsia="Times New Roman" w:cstheme="minorHAnsi"/>
          <w:szCs w:val="24"/>
          <w:lang w:eastAsia="ar-SA"/>
        </w:rPr>
        <w:t>n</w:t>
      </w:r>
      <w:r w:rsidR="00FB3C3E" w:rsidRPr="007D1549">
        <w:rPr>
          <w:rFonts w:eastAsia="Times New Roman" w:cstheme="minorHAnsi"/>
          <w:szCs w:val="24"/>
          <w:lang w:eastAsia="ar-SA"/>
        </w:rPr>
        <w:t>iezwłocznie</w:t>
      </w:r>
      <w:r w:rsidR="00FB3C3E" w:rsidRPr="007D1549">
        <w:rPr>
          <w:rFonts w:eastAsia="Calibri" w:cstheme="minorHAnsi"/>
          <w:szCs w:val="24"/>
          <w:lang w:eastAsia="pl-PL" w:bidi="pl-PL"/>
        </w:rPr>
        <w:t>.</w:t>
      </w:r>
    </w:p>
    <w:p w14:paraId="32A2C008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t>Informacja o trybie odwoławczym:</w:t>
      </w:r>
    </w:p>
    <w:p w14:paraId="28ADBCB6" w14:textId="77777777" w:rsidR="00FB3C3E" w:rsidRPr="007D1549" w:rsidRDefault="00C928FB" w:rsidP="006B2573">
      <w:pPr>
        <w:suppressAutoHyphens/>
        <w:spacing w:line="360" w:lineRule="auto"/>
        <w:rPr>
          <w:rFonts w:eastAsia="Calibri" w:cstheme="minorHAnsi"/>
          <w:szCs w:val="24"/>
          <w:lang w:eastAsia="pl-PL" w:bidi="pl-PL"/>
        </w:rPr>
      </w:pPr>
      <w:r w:rsidRPr="007D1549">
        <w:rPr>
          <w:rFonts w:eastAsia="Calibri" w:cstheme="minorHAnsi"/>
          <w:szCs w:val="24"/>
          <w:lang w:eastAsia="pl-PL" w:bidi="pl-PL"/>
        </w:rPr>
        <w:t>n</w:t>
      </w:r>
      <w:r w:rsidR="00853DA3" w:rsidRPr="007D1549">
        <w:rPr>
          <w:rFonts w:eastAsia="Calibri" w:cstheme="minorHAnsi"/>
          <w:szCs w:val="24"/>
          <w:lang w:eastAsia="pl-PL" w:bidi="pl-PL"/>
        </w:rPr>
        <w:t>ie dotyczy</w:t>
      </w:r>
      <w:r w:rsidRPr="007D1549">
        <w:rPr>
          <w:rFonts w:eastAsia="Calibri" w:cstheme="minorHAnsi"/>
          <w:szCs w:val="24"/>
          <w:lang w:eastAsia="pl-PL" w:bidi="pl-PL"/>
        </w:rPr>
        <w:t>.</w:t>
      </w:r>
    </w:p>
    <w:p w14:paraId="2C2D68BC" w14:textId="77777777" w:rsidR="00FB3C3E" w:rsidRPr="007D1549" w:rsidRDefault="00FB3C3E" w:rsidP="006B2573">
      <w:pPr>
        <w:suppressAutoHyphens/>
        <w:spacing w:line="360" w:lineRule="auto"/>
        <w:rPr>
          <w:rFonts w:eastAsia="Calibri" w:cstheme="minorHAnsi"/>
          <w:szCs w:val="24"/>
          <w:u w:color="000000"/>
          <w:lang w:eastAsia="pl-PL" w:bidi="pl-PL"/>
        </w:rPr>
      </w:pPr>
      <w:r w:rsidRPr="007D1549">
        <w:rPr>
          <w:rFonts w:eastAsia="Calibri" w:cstheme="minorHAnsi"/>
          <w:b/>
          <w:szCs w:val="24"/>
          <w:u w:color="000000"/>
          <w:lang w:eastAsia="pl-PL" w:bidi="pl-PL"/>
        </w:rPr>
        <w:t>Uwagi:</w:t>
      </w:r>
      <w:r w:rsidRPr="007D1549">
        <w:rPr>
          <w:rFonts w:eastAsia="Calibri" w:cstheme="minorHAnsi"/>
          <w:szCs w:val="24"/>
          <w:u w:color="000000"/>
          <w:lang w:eastAsia="pl-PL" w:bidi="pl-PL"/>
        </w:rPr>
        <w:t xml:space="preserve"> </w:t>
      </w:r>
    </w:p>
    <w:p w14:paraId="6517CD3C" w14:textId="1D6C8EB6" w:rsidR="00853DA3" w:rsidRPr="007D1549" w:rsidRDefault="00853DA3" w:rsidP="006B2573">
      <w:pPr>
        <w:pStyle w:val="Akapitzlist"/>
        <w:numPr>
          <w:ilvl w:val="0"/>
          <w:numId w:val="6"/>
        </w:numPr>
        <w:suppressAutoHyphens/>
        <w:autoSpaceDE w:val="0"/>
        <w:snapToGrid w:val="0"/>
        <w:spacing w:line="360" w:lineRule="auto"/>
        <w:ind w:left="227" w:hanging="227"/>
        <w:jc w:val="both"/>
        <w:rPr>
          <w:rFonts w:eastAsia="Times New Roman" w:cstheme="minorHAnsi"/>
          <w:szCs w:val="24"/>
        </w:rPr>
      </w:pPr>
      <w:r w:rsidRPr="007D1549">
        <w:rPr>
          <w:rFonts w:eastAsia="Times New Roman" w:cstheme="minorHAnsi"/>
          <w:szCs w:val="24"/>
        </w:rPr>
        <w:t>Wyniki ciągłych i okresowych pomiarów emisji substancji lub energii wprowadzanej  do środowiska przekazuje się właściwemu organowi ochrony środowiska:</w:t>
      </w:r>
    </w:p>
    <w:p w14:paraId="037F0B80" w14:textId="77777777" w:rsidR="00797BAC" w:rsidRPr="007D1549" w:rsidRDefault="00853DA3" w:rsidP="006B2573">
      <w:pPr>
        <w:pStyle w:val="Akapitzlist"/>
        <w:numPr>
          <w:ilvl w:val="0"/>
          <w:numId w:val="9"/>
        </w:numPr>
        <w:tabs>
          <w:tab w:val="right" w:pos="1644"/>
          <w:tab w:val="left" w:pos="1768"/>
        </w:tabs>
        <w:suppressAutoHyphens/>
        <w:autoSpaceDE w:val="0"/>
        <w:spacing w:line="360" w:lineRule="auto"/>
        <w:ind w:left="227" w:hanging="227"/>
        <w:jc w:val="both"/>
        <w:rPr>
          <w:rFonts w:eastAsia="Times New Roman" w:cstheme="minorHAnsi"/>
          <w:szCs w:val="24"/>
        </w:rPr>
      </w:pPr>
      <w:r w:rsidRPr="007D1549">
        <w:rPr>
          <w:rFonts w:eastAsia="Times New Roman" w:cstheme="minorHAnsi"/>
          <w:szCs w:val="24"/>
        </w:rPr>
        <w:t>dla pomiarów ciągłych oraz pomiarów okresowych wykonywanych z częstotliwością mniejszą niż miesiąc – w terminie 30 dni od dnia zakończenia kwartału, w którym pomiary zostały wykonane,</w:t>
      </w:r>
    </w:p>
    <w:p w14:paraId="188546AB" w14:textId="3BE8F0F0" w:rsidR="00853DA3" w:rsidRPr="007D1549" w:rsidRDefault="00797BAC" w:rsidP="006B2573">
      <w:pPr>
        <w:pStyle w:val="Akapitzlist"/>
        <w:numPr>
          <w:ilvl w:val="0"/>
          <w:numId w:val="9"/>
        </w:numPr>
        <w:tabs>
          <w:tab w:val="right" w:pos="1644"/>
          <w:tab w:val="left" w:pos="1768"/>
        </w:tabs>
        <w:suppressAutoHyphens/>
        <w:autoSpaceDE w:val="0"/>
        <w:spacing w:line="360" w:lineRule="auto"/>
        <w:ind w:left="227" w:hanging="227"/>
        <w:jc w:val="both"/>
        <w:rPr>
          <w:rFonts w:eastAsia="Times New Roman" w:cstheme="minorHAnsi"/>
          <w:szCs w:val="24"/>
        </w:rPr>
      </w:pPr>
      <w:r w:rsidRPr="007D1549">
        <w:rPr>
          <w:rFonts w:eastAsia="Times New Roman" w:cstheme="minorHAnsi"/>
          <w:szCs w:val="24"/>
        </w:rPr>
        <w:t xml:space="preserve"> </w:t>
      </w:r>
      <w:r w:rsidR="00853DA3" w:rsidRPr="007D1549">
        <w:rPr>
          <w:rFonts w:eastAsia="Times New Roman" w:cstheme="minorHAnsi"/>
          <w:szCs w:val="24"/>
        </w:rPr>
        <w:t>w pozostałych przypadkach – w terminie 30 dni od dnia zakończenia pomiaru;</w:t>
      </w:r>
    </w:p>
    <w:p w14:paraId="4BF4D7DA" w14:textId="60FCB373" w:rsidR="000B1754" w:rsidRPr="007D1549" w:rsidRDefault="00853DA3" w:rsidP="006B2573">
      <w:pPr>
        <w:pStyle w:val="NormalnyWeb"/>
        <w:numPr>
          <w:ilvl w:val="0"/>
          <w:numId w:val="6"/>
        </w:numPr>
        <w:snapToGrid w:val="0"/>
        <w:spacing w:before="120" w:after="120" w:line="360" w:lineRule="auto"/>
        <w:ind w:left="227" w:hanging="227"/>
        <w:rPr>
          <w:rFonts w:asciiTheme="minorHAnsi" w:hAnsiTheme="minorHAnsi" w:cstheme="minorHAnsi"/>
          <w:szCs w:val="24"/>
        </w:rPr>
      </w:pPr>
      <w:r w:rsidRPr="007D1549">
        <w:rPr>
          <w:rFonts w:asciiTheme="minorHAnsi" w:hAnsiTheme="minorHAnsi" w:cstheme="minorHAnsi"/>
          <w:color w:val="auto"/>
          <w:szCs w:val="24"/>
          <w:lang w:eastAsia="en-US"/>
        </w:rPr>
        <w:t>Wyniki wstępnych pomiarów emisji substancji lub energii wprowadzanej do środowiska, prowadzone dla instalacji lub urządzenia nowo zbudowanego lub zmienionego w istotny sposób, z których emisja wymaga pozwolenia, przekazuje się właściwemu organowi ochrony środowiska w formie i układzie, określonych dla pomiarów okresowych.</w:t>
      </w:r>
      <w:bookmarkEnd w:id="0"/>
    </w:p>
    <w:sectPr w:rsidR="000B1754" w:rsidRPr="007D1549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CA9"/>
    <w:multiLevelType w:val="hybridMultilevel"/>
    <w:tmpl w:val="E37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E43"/>
    <w:multiLevelType w:val="hybridMultilevel"/>
    <w:tmpl w:val="37EE1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89BB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31C97"/>
    <w:multiLevelType w:val="hybridMultilevel"/>
    <w:tmpl w:val="2B2A47D4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79DC"/>
    <w:multiLevelType w:val="hybridMultilevel"/>
    <w:tmpl w:val="900A3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95EA1"/>
    <w:multiLevelType w:val="hybridMultilevel"/>
    <w:tmpl w:val="0F94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2D4C"/>
    <w:multiLevelType w:val="hybridMultilevel"/>
    <w:tmpl w:val="4D8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04B6"/>
    <w:multiLevelType w:val="hybridMultilevel"/>
    <w:tmpl w:val="B8BCAA08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2F6F"/>
    <w:multiLevelType w:val="hybridMultilevel"/>
    <w:tmpl w:val="060687CA"/>
    <w:lvl w:ilvl="0" w:tplc="786AD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84FF0"/>
    <w:multiLevelType w:val="multilevel"/>
    <w:tmpl w:val="062E52A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E"/>
    <w:rsid w:val="000B0641"/>
    <w:rsid w:val="000B1754"/>
    <w:rsid w:val="000E3D00"/>
    <w:rsid w:val="0035523D"/>
    <w:rsid w:val="005011BF"/>
    <w:rsid w:val="005A1E8B"/>
    <w:rsid w:val="005B0063"/>
    <w:rsid w:val="006B2573"/>
    <w:rsid w:val="00797BAC"/>
    <w:rsid w:val="007D1549"/>
    <w:rsid w:val="00853DA3"/>
    <w:rsid w:val="009566F5"/>
    <w:rsid w:val="00B152F2"/>
    <w:rsid w:val="00C928FB"/>
    <w:rsid w:val="00ED155A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49"/>
    <w:pPr>
      <w:spacing w:before="120" w:after="12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3C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53DA3"/>
    <w:pPr>
      <w:ind w:left="720"/>
      <w:contextualSpacing/>
    </w:pPr>
  </w:style>
  <w:style w:type="table" w:styleId="Tabela-Siatka">
    <w:name w:val="Table Grid"/>
    <w:basedOn w:val="Standardowy"/>
    <w:rsid w:val="0085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49"/>
    <w:pPr>
      <w:spacing w:before="120" w:after="12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3C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53DA3"/>
    <w:pPr>
      <w:ind w:left="720"/>
      <w:contextualSpacing/>
    </w:pPr>
  </w:style>
  <w:style w:type="table" w:styleId="Tabela-Siatka">
    <w:name w:val="Table Grid"/>
    <w:basedOn w:val="Standardowy"/>
    <w:rsid w:val="0085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AD1C-7D20-4B91-B501-72E894F8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Joanna Ratajczak</cp:lastModifiedBy>
  <cp:revision>4</cp:revision>
  <dcterms:created xsi:type="dcterms:W3CDTF">2023-03-07T10:27:00Z</dcterms:created>
  <dcterms:modified xsi:type="dcterms:W3CDTF">2023-03-21T10:22:00Z</dcterms:modified>
</cp:coreProperties>
</file>