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8EFF" w14:textId="77777777" w:rsidR="00831C1E" w:rsidRDefault="00000000">
      <w:pPr>
        <w:spacing w:before="120" w:after="120"/>
        <w:jc w:val="left"/>
        <w:rPr>
          <w:color w:val="000000"/>
          <w:u w:color="000000"/>
        </w:rPr>
      </w:pPr>
      <w:r>
        <w:rPr>
          <w:color w:val="000000"/>
          <w:u w:color="000000"/>
        </w:rPr>
        <w:t>Starostwo Powiatowe w Rawiczu</w:t>
      </w:r>
    </w:p>
    <w:p w14:paraId="1E06AA99" w14:textId="1EC32F52" w:rsidR="00831C1E" w:rsidRDefault="00000000">
      <w:pPr>
        <w:spacing w:before="120" w:after="120"/>
        <w:jc w:val="left"/>
        <w:rPr>
          <w:color w:val="000000"/>
          <w:u w:color="000000"/>
        </w:rPr>
      </w:pPr>
      <w:r>
        <w:rPr>
          <w:color w:val="000000"/>
          <w:u w:color="000000"/>
        </w:rPr>
        <w:t>Nazwa komórki organizacyjnej:</w:t>
      </w:r>
      <w:r w:rsidR="00F2095D">
        <w:rPr>
          <w:color w:val="000000"/>
          <w:u w:color="000000"/>
        </w:rPr>
        <w:t xml:space="preserve"> Biuro Bezpieczeństwa i </w:t>
      </w:r>
      <w:r w:rsidR="00516331">
        <w:rPr>
          <w:color w:val="000000"/>
          <w:u w:color="000000"/>
        </w:rPr>
        <w:t>Zarządzania</w:t>
      </w:r>
      <w:r w:rsidR="00F2095D">
        <w:rPr>
          <w:color w:val="000000"/>
          <w:u w:color="000000"/>
        </w:rPr>
        <w:t xml:space="preserve"> Kryzysowego </w:t>
      </w:r>
    </w:p>
    <w:p w14:paraId="00CB80E2" w14:textId="57D31A33" w:rsidR="00831C1E" w:rsidRDefault="00000000">
      <w:pPr>
        <w:spacing w:before="120" w:after="120"/>
        <w:jc w:val="left"/>
        <w:rPr>
          <w:color w:val="000000"/>
          <w:u w:color="000000"/>
        </w:rPr>
      </w:pPr>
      <w:r>
        <w:rPr>
          <w:color w:val="000000"/>
          <w:u w:color="000000"/>
        </w:rPr>
        <w:t>Adres:</w:t>
      </w:r>
      <w:r w:rsidR="00F2095D">
        <w:rPr>
          <w:color w:val="000000"/>
          <w:u w:color="000000"/>
        </w:rPr>
        <w:t xml:space="preserve"> Rynek 17, 63-900 Rawicz</w:t>
      </w:r>
    </w:p>
    <w:p w14:paraId="1A1C14A7" w14:textId="013C34A6" w:rsidR="00831C1E" w:rsidRDefault="00000000">
      <w:pPr>
        <w:spacing w:before="120" w:after="120"/>
        <w:jc w:val="left"/>
        <w:rPr>
          <w:color w:val="000000"/>
          <w:u w:color="000000"/>
        </w:rPr>
      </w:pPr>
      <w:r>
        <w:rPr>
          <w:color w:val="000000"/>
          <w:u w:color="000000"/>
        </w:rPr>
        <w:t>E-mail/Numer telefonu:</w:t>
      </w:r>
      <w:r w:rsidR="00F2095D">
        <w:rPr>
          <w:color w:val="000000"/>
          <w:u w:color="000000"/>
        </w:rPr>
        <w:t xml:space="preserve"> </w:t>
      </w:r>
      <w:hyperlink r:id="rId5" w:history="1">
        <w:r w:rsidR="00B14941" w:rsidRPr="00B14941">
          <w:rPr>
            <w:color w:val="000000"/>
            <w:u w:color="000000"/>
          </w:rPr>
          <w:t>obywatelski@powiatrawicki.pl</w:t>
        </w:r>
      </w:hyperlink>
      <w:r w:rsidR="00B14941">
        <w:rPr>
          <w:color w:val="000000"/>
          <w:u w:color="000000"/>
        </w:rPr>
        <w:t xml:space="preserve"> / </w:t>
      </w:r>
      <w:r w:rsidR="00B14941" w:rsidRPr="00B14941">
        <w:rPr>
          <w:color w:val="000000"/>
          <w:u w:color="000000"/>
        </w:rPr>
        <w:t>65 546 51 37</w:t>
      </w:r>
    </w:p>
    <w:p w14:paraId="42510723" w14:textId="581DEAC9" w:rsidR="00831C1E" w:rsidRDefault="00000000">
      <w:pPr>
        <w:spacing w:before="120" w:after="120"/>
        <w:rPr>
          <w:b/>
          <w:color w:val="000000"/>
          <w:u w:color="000000"/>
        </w:rPr>
      </w:pPr>
      <w:r>
        <w:rPr>
          <w:b/>
          <w:color w:val="000000"/>
          <w:u w:color="000000"/>
        </w:rPr>
        <w:t>Karta usługi</w:t>
      </w:r>
      <w:r>
        <w:rPr>
          <w:b/>
          <w:color w:val="000000"/>
          <w:u w:color="000000"/>
        </w:rPr>
        <w:br/>
      </w:r>
      <w:r w:rsidR="001668BD" w:rsidRPr="001668BD">
        <w:rPr>
          <w:b/>
          <w:color w:val="000000"/>
          <w:u w:color="000000"/>
        </w:rPr>
        <w:t>Przyjmowanie i przechowanie oraz wydawanie rzeczy znalezionych</w:t>
      </w:r>
    </w:p>
    <w:p w14:paraId="398B9F19" w14:textId="52DCE689" w:rsidR="00831C1E" w:rsidRDefault="00000000">
      <w:pPr>
        <w:spacing w:before="120" w:after="120"/>
        <w:jc w:val="both"/>
        <w:rPr>
          <w:color w:val="000000"/>
          <w:u w:color="000000"/>
        </w:rPr>
      </w:pPr>
      <w:r>
        <w:rPr>
          <w:color w:val="000000"/>
          <w:u w:color="000000"/>
        </w:rPr>
        <w:t xml:space="preserve">Numer referencyjny: </w:t>
      </w:r>
      <w:r w:rsidR="00F2095D">
        <w:rPr>
          <w:color w:val="000000"/>
          <w:u w:color="000000"/>
        </w:rPr>
        <w:t>ZK</w:t>
      </w:r>
      <w:r>
        <w:rPr>
          <w:color w:val="000000"/>
          <w:u w:color="000000"/>
        </w:rPr>
        <w:t>-</w:t>
      </w:r>
      <w:r w:rsidR="00F2095D">
        <w:rPr>
          <w:color w:val="000000"/>
          <w:u w:color="000000"/>
        </w:rPr>
        <w:t>0</w:t>
      </w:r>
      <w:r w:rsidR="001668BD">
        <w:rPr>
          <w:color w:val="000000"/>
          <w:u w:color="000000"/>
        </w:rPr>
        <w:t>2</w:t>
      </w:r>
    </w:p>
    <w:p w14:paraId="3C6347EA" w14:textId="62CC5FA9" w:rsidR="00831C1E" w:rsidRDefault="00000000">
      <w:pPr>
        <w:spacing w:before="120" w:after="120"/>
        <w:jc w:val="both"/>
        <w:rPr>
          <w:color w:val="000000"/>
          <w:u w:color="000000"/>
        </w:rPr>
      </w:pPr>
      <w:r>
        <w:rPr>
          <w:color w:val="000000"/>
          <w:u w:color="000000"/>
        </w:rPr>
        <w:t>Załączniki:</w:t>
      </w:r>
      <w:r w:rsidR="00F2095D">
        <w:rPr>
          <w:color w:val="000000"/>
          <w:u w:color="000000"/>
        </w:rPr>
        <w:t xml:space="preserve"> </w:t>
      </w:r>
    </w:p>
    <w:p w14:paraId="5229A2E1" w14:textId="3402A1A3" w:rsidR="001668BD" w:rsidRPr="001668BD" w:rsidRDefault="005C5016" w:rsidP="001668BD">
      <w:pPr>
        <w:numPr>
          <w:ilvl w:val="0"/>
          <w:numId w:val="2"/>
        </w:numPr>
        <w:tabs>
          <w:tab w:val="left" w:pos="317"/>
        </w:tabs>
        <w:suppressAutoHyphens w:val="0"/>
        <w:spacing w:after="160" w:line="259" w:lineRule="auto"/>
        <w:ind w:left="317" w:hanging="317"/>
        <w:jc w:val="left"/>
        <w:rPr>
          <w:color w:val="000000"/>
          <w:u w:color="000000"/>
        </w:rPr>
      </w:pPr>
      <w:r>
        <w:rPr>
          <w:color w:val="000000"/>
          <w:u w:color="000000"/>
        </w:rPr>
        <w:t>Oświadczenie o zagubieniu rzeczy</w:t>
      </w:r>
      <w:r w:rsidR="001668BD" w:rsidRPr="001668BD">
        <w:rPr>
          <w:color w:val="000000"/>
          <w:u w:color="000000"/>
        </w:rPr>
        <w:t>.</w:t>
      </w:r>
    </w:p>
    <w:p w14:paraId="0F9F607A" w14:textId="2EAF87D2" w:rsidR="00FE0066" w:rsidRPr="001668BD" w:rsidRDefault="00FE0066" w:rsidP="001668BD">
      <w:pPr>
        <w:numPr>
          <w:ilvl w:val="0"/>
          <w:numId w:val="2"/>
        </w:numPr>
        <w:tabs>
          <w:tab w:val="left" w:pos="317"/>
        </w:tabs>
        <w:suppressAutoHyphens w:val="0"/>
        <w:spacing w:after="160" w:line="259" w:lineRule="auto"/>
        <w:ind w:left="317" w:hanging="317"/>
        <w:jc w:val="left"/>
        <w:rPr>
          <w:color w:val="000000"/>
          <w:u w:color="000000"/>
        </w:rPr>
      </w:pPr>
      <w:r>
        <w:rPr>
          <w:color w:val="000000"/>
          <w:u w:color="000000"/>
        </w:rPr>
        <w:t>Wniosek o zwrot znalezionych pieniędzy z konta depozytowego.</w:t>
      </w:r>
    </w:p>
    <w:p w14:paraId="47CAC0F0" w14:textId="77777777" w:rsidR="00831C1E" w:rsidRDefault="00000000">
      <w:pPr>
        <w:spacing w:before="120" w:after="120"/>
        <w:jc w:val="both"/>
        <w:rPr>
          <w:color w:val="000000"/>
          <w:u w:color="000000"/>
        </w:rPr>
      </w:pPr>
      <w:r>
        <w:rPr>
          <w:b/>
          <w:color w:val="000000"/>
          <w:u w:color="000000"/>
        </w:rPr>
        <w:t>Podstawa prawna:</w:t>
      </w:r>
    </w:p>
    <w:p w14:paraId="4858845D" w14:textId="2E0C958F" w:rsidR="00831C1E" w:rsidRDefault="001668BD">
      <w:pPr>
        <w:spacing w:before="120" w:after="120"/>
        <w:jc w:val="both"/>
        <w:rPr>
          <w:color w:val="000000"/>
          <w:u w:color="000000"/>
        </w:rPr>
      </w:pPr>
      <w:r w:rsidRPr="001668BD">
        <w:rPr>
          <w:color w:val="000000"/>
          <w:u w:color="000000"/>
        </w:rPr>
        <w:t>Ustawa z dnia 20 lutego 2015 r. o rzeczach znalezionych (</w:t>
      </w:r>
      <w:r w:rsidR="00281192" w:rsidRPr="00281192">
        <w:rPr>
          <w:color w:val="000000"/>
          <w:u w:color="000000"/>
        </w:rPr>
        <w:t>Dz.U.</w:t>
      </w:r>
      <w:r w:rsidR="00281192">
        <w:rPr>
          <w:color w:val="000000"/>
          <w:u w:color="000000"/>
        </w:rPr>
        <w:t xml:space="preserve"> z </w:t>
      </w:r>
      <w:r w:rsidR="00281192" w:rsidRPr="00281192">
        <w:rPr>
          <w:color w:val="000000"/>
          <w:u w:color="000000"/>
        </w:rPr>
        <w:t>2023</w:t>
      </w:r>
      <w:r w:rsidR="00281192">
        <w:rPr>
          <w:color w:val="000000"/>
          <w:u w:color="000000"/>
        </w:rPr>
        <w:t xml:space="preserve"> r., poz. </w:t>
      </w:r>
      <w:r w:rsidR="00281192" w:rsidRPr="00281192">
        <w:rPr>
          <w:color w:val="000000"/>
          <w:u w:color="000000"/>
        </w:rPr>
        <w:t>501</w:t>
      </w:r>
      <w:r w:rsidRPr="001668BD">
        <w:rPr>
          <w:color w:val="000000"/>
          <w:u w:color="000000"/>
        </w:rPr>
        <w:t>)</w:t>
      </w:r>
    </w:p>
    <w:p w14:paraId="06DAC113" w14:textId="77777777" w:rsidR="00831C1E" w:rsidRDefault="00000000">
      <w:pPr>
        <w:spacing w:before="120" w:after="120"/>
        <w:jc w:val="both"/>
        <w:rPr>
          <w:color w:val="000000"/>
          <w:u w:color="000000"/>
        </w:rPr>
      </w:pPr>
      <w:r>
        <w:rPr>
          <w:b/>
          <w:color w:val="000000"/>
          <w:u w:color="000000"/>
        </w:rPr>
        <w:t>Wykaz potrzebnych dokumentów:</w:t>
      </w:r>
    </w:p>
    <w:p w14:paraId="3257B239" w14:textId="5A088531" w:rsidR="00B14941" w:rsidRPr="00B14941" w:rsidRDefault="001668BD" w:rsidP="001668BD">
      <w:pPr>
        <w:tabs>
          <w:tab w:val="left" w:pos="317"/>
        </w:tabs>
        <w:suppressAutoHyphens w:val="0"/>
        <w:spacing w:after="160" w:line="259" w:lineRule="auto"/>
        <w:jc w:val="left"/>
        <w:rPr>
          <w:color w:val="000000"/>
          <w:u w:color="000000"/>
        </w:rPr>
      </w:pPr>
      <w:r>
        <w:rPr>
          <w:color w:val="000000"/>
          <w:u w:color="000000"/>
        </w:rPr>
        <w:t>Nie dotyczy</w:t>
      </w:r>
      <w:r w:rsidR="00B14941" w:rsidRPr="00B14941">
        <w:rPr>
          <w:color w:val="000000"/>
          <w:u w:color="000000"/>
        </w:rPr>
        <w:t xml:space="preserve">. </w:t>
      </w:r>
    </w:p>
    <w:p w14:paraId="20999679" w14:textId="77777777" w:rsidR="00831C1E" w:rsidRDefault="00000000">
      <w:pPr>
        <w:spacing w:before="120" w:after="120"/>
        <w:jc w:val="both"/>
        <w:rPr>
          <w:color w:val="000000"/>
          <w:u w:color="000000"/>
        </w:rPr>
      </w:pPr>
      <w:r>
        <w:rPr>
          <w:b/>
          <w:color w:val="000000"/>
          <w:u w:color="000000"/>
        </w:rPr>
        <w:t>Wysokość opłat:</w:t>
      </w:r>
    </w:p>
    <w:p w14:paraId="3F2E590E" w14:textId="26D4C5B9" w:rsidR="00831C1E" w:rsidRDefault="001668BD">
      <w:pPr>
        <w:spacing w:before="120" w:after="120"/>
        <w:jc w:val="both"/>
        <w:rPr>
          <w:color w:val="000000"/>
          <w:u w:color="000000"/>
        </w:rPr>
      </w:pPr>
      <w:r>
        <w:rPr>
          <w:color w:val="000000"/>
          <w:u w:color="000000"/>
        </w:rPr>
        <w:t>Nie dotyczy.</w:t>
      </w:r>
    </w:p>
    <w:p w14:paraId="701B314B" w14:textId="77777777" w:rsidR="00831C1E" w:rsidRDefault="00000000">
      <w:pPr>
        <w:spacing w:before="120" w:after="120"/>
        <w:jc w:val="both"/>
        <w:rPr>
          <w:color w:val="000000"/>
          <w:u w:color="000000"/>
        </w:rPr>
      </w:pPr>
      <w:r>
        <w:rPr>
          <w:b/>
          <w:color w:val="000000"/>
          <w:u w:color="000000"/>
        </w:rPr>
        <w:t>Dokładne określenie miejsca wykonania usługi:</w:t>
      </w:r>
    </w:p>
    <w:p w14:paraId="756E0BA6" w14:textId="77777777" w:rsidR="0034384E" w:rsidRPr="0034384E" w:rsidRDefault="0034384E" w:rsidP="0034384E">
      <w:pPr>
        <w:spacing w:line="276" w:lineRule="auto"/>
        <w:ind w:left="22"/>
        <w:jc w:val="both"/>
        <w:rPr>
          <w:color w:val="000000"/>
          <w:u w:color="000000"/>
        </w:rPr>
      </w:pPr>
      <w:r w:rsidRPr="0034384E">
        <w:rPr>
          <w:color w:val="000000"/>
          <w:u w:color="000000"/>
        </w:rPr>
        <w:t>Biuro Bezpieczeństwa i Zarządzania Kryzysowego</w:t>
      </w:r>
    </w:p>
    <w:p w14:paraId="5E3F07D3" w14:textId="5B02495B" w:rsidR="00831C1E" w:rsidRDefault="0034384E" w:rsidP="0034384E">
      <w:pPr>
        <w:spacing w:after="120"/>
        <w:jc w:val="both"/>
        <w:rPr>
          <w:color w:val="000000"/>
          <w:u w:color="000000"/>
        </w:rPr>
      </w:pPr>
      <w:r w:rsidRPr="0034384E">
        <w:rPr>
          <w:color w:val="000000"/>
          <w:u w:color="000000"/>
        </w:rPr>
        <w:t>ul. Rynek 17, 63-900 Rawicz, pokój nr 11 (I piętro)</w:t>
      </w:r>
    </w:p>
    <w:p w14:paraId="331C13FA" w14:textId="77777777" w:rsidR="00831C1E" w:rsidRDefault="00000000">
      <w:pPr>
        <w:spacing w:before="120" w:after="120"/>
        <w:jc w:val="both"/>
        <w:rPr>
          <w:color w:val="000000"/>
          <w:u w:color="000000"/>
        </w:rPr>
      </w:pPr>
      <w:r>
        <w:rPr>
          <w:b/>
          <w:color w:val="000000"/>
          <w:u w:color="000000"/>
        </w:rPr>
        <w:t>Określenie czasu realizacji usługi:</w:t>
      </w:r>
    </w:p>
    <w:p w14:paraId="57372DFE" w14:textId="693CB9E3" w:rsidR="00831C1E" w:rsidRDefault="0034384E">
      <w:pPr>
        <w:spacing w:before="120" w:after="120"/>
        <w:jc w:val="both"/>
        <w:rPr>
          <w:color w:val="000000"/>
          <w:u w:color="000000"/>
        </w:rPr>
      </w:pPr>
      <w:r w:rsidRPr="0034384E">
        <w:rPr>
          <w:color w:val="000000"/>
          <w:u w:color="000000"/>
        </w:rPr>
        <w:t xml:space="preserve">Niezwłocznie po </w:t>
      </w:r>
      <w:r w:rsidR="001668BD">
        <w:rPr>
          <w:color w:val="000000"/>
          <w:u w:color="000000"/>
        </w:rPr>
        <w:t>wypełnieniu niezbędnych dokumentów</w:t>
      </w:r>
      <w:r>
        <w:rPr>
          <w:color w:val="000000"/>
          <w:u w:color="000000"/>
        </w:rPr>
        <w:t>.</w:t>
      </w:r>
    </w:p>
    <w:p w14:paraId="7AEC50BF" w14:textId="77777777" w:rsidR="00831C1E" w:rsidRDefault="00000000">
      <w:pPr>
        <w:spacing w:before="120" w:after="120"/>
        <w:jc w:val="both"/>
        <w:rPr>
          <w:color w:val="000000"/>
          <w:u w:color="000000"/>
        </w:rPr>
      </w:pPr>
      <w:r>
        <w:rPr>
          <w:b/>
          <w:color w:val="000000"/>
          <w:u w:color="000000"/>
        </w:rPr>
        <w:t>Informacja o trybie odwoławczym:</w:t>
      </w:r>
    </w:p>
    <w:p w14:paraId="56E2A9AB" w14:textId="7CBA3B97" w:rsidR="00831C1E" w:rsidRDefault="001668BD">
      <w:pPr>
        <w:spacing w:before="120" w:after="120"/>
        <w:jc w:val="both"/>
        <w:rPr>
          <w:color w:val="000000"/>
          <w:u w:color="000000"/>
        </w:rPr>
      </w:pPr>
      <w:r>
        <w:rPr>
          <w:color w:val="000000"/>
          <w:u w:color="000000"/>
        </w:rPr>
        <w:t>Nie dotyczy</w:t>
      </w:r>
      <w:r w:rsidR="0034384E">
        <w:rPr>
          <w:color w:val="000000"/>
          <w:u w:color="000000"/>
        </w:rPr>
        <w:t>.</w:t>
      </w:r>
    </w:p>
    <w:p w14:paraId="5093EFBE" w14:textId="77777777" w:rsidR="00831C1E" w:rsidRDefault="00000000">
      <w:pPr>
        <w:spacing w:before="120" w:after="120"/>
        <w:jc w:val="both"/>
        <w:rPr>
          <w:color w:val="000000"/>
          <w:u w:color="000000"/>
        </w:rPr>
      </w:pPr>
      <w:r>
        <w:rPr>
          <w:b/>
          <w:color w:val="000000"/>
          <w:u w:color="000000"/>
        </w:rPr>
        <w:t>Uwagi:</w:t>
      </w:r>
    </w:p>
    <w:p w14:paraId="056D32E3" w14:textId="77777777" w:rsidR="001668BD" w:rsidRPr="001668BD" w:rsidRDefault="001668BD" w:rsidP="001668BD">
      <w:pPr>
        <w:jc w:val="both"/>
        <w:rPr>
          <w:color w:val="000000"/>
          <w:u w:color="000000"/>
        </w:rPr>
      </w:pPr>
      <w:r w:rsidRPr="001668BD">
        <w:rPr>
          <w:color w:val="000000"/>
          <w:u w:color="000000"/>
        </w:rPr>
        <w:t>Zgodnie z art.:</w:t>
      </w:r>
    </w:p>
    <w:p w14:paraId="4945D9D9" w14:textId="2B82E13E" w:rsidR="001668BD" w:rsidRPr="001668BD" w:rsidRDefault="001668BD" w:rsidP="001668BD">
      <w:pPr>
        <w:jc w:val="both"/>
        <w:rPr>
          <w:color w:val="000000"/>
          <w:u w:color="000000"/>
        </w:rPr>
      </w:pPr>
      <m:oMath>
        <m:r>
          <m:rPr>
            <m:sty m:val="p"/>
          </m:rPr>
          <w:rPr>
            <w:rFonts w:ascii="Cambria Math" w:hAnsi="Cambria Math"/>
            <w:color w:val="000000"/>
            <w:u w:color="000000"/>
          </w:rPr>
          <w:sym w:font="Symbol" w:char="F02D"/>
        </m:r>
      </m:oMath>
      <w:r w:rsidRPr="001668BD">
        <w:rPr>
          <w:color w:val="000000"/>
          <w:u w:color="000000"/>
        </w:rPr>
        <w:t xml:space="preserve"> 5 ust. 1 </w:t>
      </w:r>
      <w:r w:rsidR="00516331">
        <w:rPr>
          <w:color w:val="000000"/>
          <w:u w:color="000000"/>
        </w:rPr>
        <w:t xml:space="preserve">ww. </w:t>
      </w:r>
      <w:r w:rsidRPr="001668BD">
        <w:rPr>
          <w:color w:val="000000"/>
          <w:u w:color="000000"/>
        </w:rPr>
        <w:t>ustawy, kto znalazł rzecz i nie zna osoby uprawnionej do jej odbioru lub nie zna jej miejsca pobytu, niezwłocznie zawiadamia o znalezieniu rzeczy starostę właściwego ze względu na miejsce zamieszkania znalazcy lub miejsce znalezienia rzeczy (właściwy starosta).</w:t>
      </w:r>
    </w:p>
    <w:p w14:paraId="17C33A31" w14:textId="1F3658E8" w:rsidR="001668BD" w:rsidRPr="001668BD" w:rsidRDefault="001668BD" w:rsidP="001668BD">
      <w:pPr>
        <w:jc w:val="both"/>
        <w:rPr>
          <w:color w:val="000000"/>
          <w:u w:color="000000"/>
        </w:rPr>
      </w:pPr>
      <m:oMath>
        <m:r>
          <m:rPr>
            <m:sty m:val="p"/>
          </m:rPr>
          <w:rPr>
            <w:rFonts w:ascii="Cambria Math" w:hAnsi="Cambria Math"/>
            <w:color w:val="000000"/>
            <w:u w:color="000000"/>
          </w:rPr>
          <w:sym w:font="Symbol" w:char="F02D"/>
        </m:r>
      </m:oMath>
      <w:r w:rsidRPr="001668BD">
        <w:rPr>
          <w:color w:val="000000"/>
          <w:u w:color="000000"/>
        </w:rPr>
        <w:t xml:space="preserve"> 13 ust. 1 </w:t>
      </w:r>
      <w:r w:rsidR="00516331">
        <w:rPr>
          <w:color w:val="000000"/>
          <w:u w:color="000000"/>
        </w:rPr>
        <w:t xml:space="preserve">ww. </w:t>
      </w:r>
      <w:r w:rsidRPr="001668BD">
        <w:rPr>
          <w:color w:val="000000"/>
          <w:u w:color="000000"/>
        </w:rPr>
        <w:t xml:space="preserve">ustawy, odebranie zawiadomienia o znalezieniu rzeczy oraz przyjęcie rzeczy przez właściwego starostę stwierdza się w sporządzonym przez niego protokole, który stanowi podstawę wydania znalazcy poświadczenia przyjęcia zawiadomienia o znalezieniu rzeczy albo znalezieniu oraz przyjęciu rzeczy. </w:t>
      </w:r>
    </w:p>
    <w:p w14:paraId="45FBF41F" w14:textId="77777777" w:rsidR="002651D7" w:rsidRPr="001668BD" w:rsidRDefault="002651D7" w:rsidP="001668BD">
      <w:pPr>
        <w:jc w:val="both"/>
        <w:rPr>
          <w:color w:val="000000"/>
          <w:u w:color="000000"/>
        </w:rPr>
      </w:pPr>
    </w:p>
    <w:p w14:paraId="7E801768" w14:textId="77777777" w:rsidR="001668BD" w:rsidRPr="001668BD" w:rsidRDefault="001668BD" w:rsidP="001668BD">
      <w:pPr>
        <w:jc w:val="both"/>
        <w:rPr>
          <w:color w:val="000000"/>
          <w:u w:color="000000"/>
        </w:rPr>
      </w:pPr>
      <w:r w:rsidRPr="001668BD">
        <w:rPr>
          <w:color w:val="000000"/>
          <w:u w:color="000000"/>
        </w:rPr>
        <w:t>Biuro przyjmuje do depozytu:</w:t>
      </w:r>
    </w:p>
    <w:p w14:paraId="130EDF9A" w14:textId="77777777" w:rsidR="001668BD" w:rsidRPr="001668BD" w:rsidRDefault="001668BD" w:rsidP="001668BD">
      <w:pPr>
        <w:numPr>
          <w:ilvl w:val="0"/>
          <w:numId w:val="8"/>
        </w:numPr>
        <w:ind w:left="426" w:hanging="437"/>
        <w:jc w:val="both"/>
        <w:rPr>
          <w:color w:val="000000"/>
          <w:u w:color="000000"/>
        </w:rPr>
      </w:pPr>
      <w:r w:rsidRPr="001668BD">
        <w:rPr>
          <w:color w:val="000000"/>
          <w:u w:color="000000"/>
        </w:rPr>
        <w:t xml:space="preserve">Rzeczy znalezione, które posiadają wartość przekraczającą 100 zł, jak również pieniądze (chyba, że ich kwota nie przekracza 100 złotych lub równowartości tej kwoty obliczonej według kursu średniego ogłaszanego przez Narodowy Bank Polski z dnia znalezienia pieniędzy, a w przypadku gdy w tym dniu </w:t>
      </w:r>
      <w:r w:rsidRPr="001668BD">
        <w:rPr>
          <w:color w:val="000000"/>
          <w:u w:color="000000"/>
        </w:rPr>
        <w:lastRenderedPageBreak/>
        <w:t>nie ogłoszono takiego kursu, według ostatniego kursu ogłoszonego przed tym dniem), papiery wartościowe, kosztowności oraz rzeczy o wartości historycznej, naukowej lub artystycznej.</w:t>
      </w:r>
    </w:p>
    <w:p w14:paraId="3CA4E34C" w14:textId="77777777" w:rsidR="001668BD" w:rsidRPr="001668BD" w:rsidRDefault="001668BD" w:rsidP="001668BD">
      <w:pPr>
        <w:numPr>
          <w:ilvl w:val="0"/>
          <w:numId w:val="8"/>
        </w:numPr>
        <w:ind w:left="426" w:hanging="437"/>
        <w:jc w:val="both"/>
        <w:rPr>
          <w:color w:val="000000"/>
          <w:u w:color="000000"/>
        </w:rPr>
      </w:pPr>
      <w:r w:rsidRPr="001668BD">
        <w:rPr>
          <w:color w:val="000000"/>
          <w:u w:color="000000"/>
        </w:rPr>
        <w:t>Sprzęt lub ekwipunek wojskowy, dokumenty wojskowe a w szczególności legitymacje, książeczki, zaświadczenia wojskowe i karty powołania oraz inne dokumenty wystawione przez administrację wojskową.</w:t>
      </w:r>
    </w:p>
    <w:p w14:paraId="1CB0B7F9" w14:textId="77777777" w:rsidR="001668BD" w:rsidRPr="001668BD" w:rsidRDefault="001668BD" w:rsidP="001668BD">
      <w:pPr>
        <w:numPr>
          <w:ilvl w:val="0"/>
          <w:numId w:val="8"/>
        </w:numPr>
        <w:ind w:left="426" w:hanging="437"/>
        <w:jc w:val="both"/>
        <w:rPr>
          <w:color w:val="000000"/>
          <w:u w:color="000000"/>
        </w:rPr>
      </w:pPr>
      <w:r w:rsidRPr="001668BD">
        <w:rPr>
          <w:color w:val="000000"/>
          <w:u w:color="000000"/>
        </w:rPr>
        <w:t>Rzeczy znalezione w budynkach publicznych lub budynkach i pomieszczeniach otwartych dla publiczności, środkach transportu publicznego, które zostały oddane zarządcy budynku, pomieszczenia albo środka transportu publicznego w terminie 3 dni od dnia otrzymania rzeczy nie zostały odebrane przez osobę uprawnioną.</w:t>
      </w:r>
    </w:p>
    <w:p w14:paraId="6C0D56DB" w14:textId="77777777" w:rsidR="001668BD" w:rsidRDefault="001668BD" w:rsidP="001668BD">
      <w:pPr>
        <w:jc w:val="both"/>
        <w:rPr>
          <w:color w:val="000000"/>
          <w:u w:color="000000"/>
        </w:rPr>
      </w:pPr>
    </w:p>
    <w:p w14:paraId="428E8B5F" w14:textId="1B6AD22A" w:rsidR="001668BD" w:rsidRPr="001668BD" w:rsidRDefault="001668BD" w:rsidP="001668BD">
      <w:pPr>
        <w:jc w:val="both"/>
        <w:rPr>
          <w:color w:val="000000"/>
          <w:u w:color="000000"/>
        </w:rPr>
      </w:pPr>
      <w:r w:rsidRPr="001668BD">
        <w:rPr>
          <w:color w:val="000000"/>
          <w:u w:color="000000"/>
        </w:rPr>
        <w:t>UWAGA!</w:t>
      </w:r>
    </w:p>
    <w:p w14:paraId="71859306" w14:textId="77777777" w:rsidR="001668BD" w:rsidRPr="001668BD" w:rsidRDefault="001668BD" w:rsidP="001668BD">
      <w:pPr>
        <w:jc w:val="both"/>
        <w:rPr>
          <w:color w:val="000000"/>
          <w:u w:color="000000"/>
        </w:rPr>
      </w:pPr>
      <w:r w:rsidRPr="001668BD">
        <w:rPr>
          <w:color w:val="000000"/>
          <w:u w:color="000000"/>
        </w:rPr>
        <w:t>W przypadku znalezienia rzeczy, której posiadanie wymaga pozwolenia, w szczególności broń, amunicję, materiały wybuchowe albo dowód osobisty lub paszport, należy tą rzecz niezwłocznie oddać najbliższej jednostce organizacyjnej Policji.</w:t>
      </w:r>
    </w:p>
    <w:p w14:paraId="2C665361" w14:textId="77777777" w:rsidR="001668BD" w:rsidRPr="001668BD" w:rsidRDefault="001668BD" w:rsidP="001668BD">
      <w:pPr>
        <w:jc w:val="both"/>
        <w:rPr>
          <w:color w:val="000000"/>
          <w:u w:color="000000"/>
        </w:rPr>
      </w:pPr>
    </w:p>
    <w:p w14:paraId="6C997000" w14:textId="77777777" w:rsidR="001668BD" w:rsidRPr="001668BD" w:rsidRDefault="001668BD" w:rsidP="001668BD">
      <w:pPr>
        <w:jc w:val="both"/>
        <w:rPr>
          <w:color w:val="000000"/>
          <w:u w:color="000000"/>
        </w:rPr>
      </w:pPr>
      <w:r w:rsidRPr="001668BD">
        <w:rPr>
          <w:color w:val="000000"/>
          <w:u w:color="000000"/>
        </w:rPr>
        <w:t>Biuro odmawia przyjęcia do depozytu rzeczy:</w:t>
      </w:r>
    </w:p>
    <w:p w14:paraId="556A9FF1" w14:textId="51C90758"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n</w:t>
      </w:r>
      <w:r w:rsidR="001668BD" w:rsidRPr="001668BD">
        <w:rPr>
          <w:color w:val="000000"/>
          <w:u w:color="000000"/>
        </w:rPr>
        <w:t>ie posiadających żadnej wartości lub posiadających wartość poniżej 100 zł, chyba że jest to rzecz</w:t>
      </w:r>
      <w:r w:rsidR="001668BD" w:rsidRPr="001668BD">
        <w:rPr>
          <w:color w:val="000000"/>
          <w:u w:color="000000"/>
        </w:rPr>
        <w:br/>
        <w:t>o wartości historycznej, naukowej lub artystycznej</w:t>
      </w:r>
      <w:r>
        <w:rPr>
          <w:color w:val="000000"/>
          <w:u w:color="000000"/>
        </w:rPr>
        <w:t>;</w:t>
      </w:r>
    </w:p>
    <w:p w14:paraId="7686C8C6" w14:textId="50ACB7CC"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c</w:t>
      </w:r>
      <w:r w:rsidR="001668BD" w:rsidRPr="001668BD">
        <w:rPr>
          <w:color w:val="000000"/>
          <w:u w:color="000000"/>
        </w:rPr>
        <w:t>o do których zachodzi podejrzenie, że zostały one porzucone z zamiarem wyzbycia się własności</w:t>
      </w:r>
      <w:r>
        <w:rPr>
          <w:color w:val="000000"/>
          <w:u w:color="000000"/>
        </w:rPr>
        <w:t>;</w:t>
      </w:r>
    </w:p>
    <w:p w14:paraId="2BD1472C" w14:textId="34873DBA"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z</w:t>
      </w:r>
      <w:r w:rsidR="001668BD" w:rsidRPr="001668BD">
        <w:rPr>
          <w:color w:val="000000"/>
          <w:u w:color="000000"/>
        </w:rPr>
        <w:t>aliczanych do produktów niebezpiecznych, żrących łatwopalnych lub wybuchowych</w:t>
      </w:r>
      <w:r>
        <w:rPr>
          <w:color w:val="000000"/>
          <w:u w:color="000000"/>
        </w:rPr>
        <w:t>;</w:t>
      </w:r>
    </w:p>
    <w:p w14:paraId="16A4248D" w14:textId="130F1B65"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k</w:t>
      </w:r>
      <w:r w:rsidR="001668BD" w:rsidRPr="001668BD">
        <w:rPr>
          <w:color w:val="000000"/>
          <w:u w:color="000000"/>
        </w:rPr>
        <w:t>tórej przechowywanie jest niemożliwe</w:t>
      </w:r>
      <w:r>
        <w:rPr>
          <w:color w:val="000000"/>
          <w:u w:color="000000"/>
        </w:rPr>
        <w:t>;</w:t>
      </w:r>
    </w:p>
    <w:p w14:paraId="321AE63A" w14:textId="37B173F6"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k</w:t>
      </w:r>
      <w:r w:rsidR="001668BD" w:rsidRPr="001668BD">
        <w:rPr>
          <w:color w:val="000000"/>
          <w:u w:color="000000"/>
        </w:rPr>
        <w:t>tóra została znaleziona w budynku, miejscu publicznym lub środku transportu innym niż</w:t>
      </w:r>
      <w:r>
        <w:rPr>
          <w:color w:val="000000"/>
          <w:u w:color="000000"/>
        </w:rPr>
        <w:t xml:space="preserve"> </w:t>
      </w:r>
      <w:r w:rsidR="001668BD" w:rsidRPr="001668BD">
        <w:rPr>
          <w:color w:val="000000"/>
          <w:u w:color="000000"/>
        </w:rPr>
        <w:t>stanowiący własność Powiatu do upływu terminu 3 dni przechowywania przez właściwego zarządcę, chyba że</w:t>
      </w:r>
      <w:r>
        <w:rPr>
          <w:color w:val="000000"/>
          <w:u w:color="000000"/>
        </w:rPr>
        <w:t xml:space="preserve"> </w:t>
      </w:r>
      <w:r w:rsidR="001668BD" w:rsidRPr="001668BD">
        <w:rPr>
          <w:color w:val="000000"/>
          <w:u w:color="000000"/>
        </w:rPr>
        <w:t>w tym terminie zgłosi się osoba uprawniona do odbioru rzeczy.</w:t>
      </w:r>
    </w:p>
    <w:p w14:paraId="4CFF10F7" w14:textId="77777777" w:rsidR="001668BD" w:rsidRDefault="001668BD" w:rsidP="001668BD">
      <w:pPr>
        <w:jc w:val="both"/>
        <w:rPr>
          <w:rFonts w:ascii="Arial" w:hAnsi="Arial" w:cs="Arial"/>
          <w:u w:val="single"/>
        </w:rPr>
      </w:pPr>
    </w:p>
    <w:p w14:paraId="703AC206" w14:textId="77777777" w:rsidR="001668BD" w:rsidRPr="001668BD" w:rsidRDefault="001668BD" w:rsidP="001668BD">
      <w:pPr>
        <w:jc w:val="both"/>
        <w:rPr>
          <w:color w:val="000000"/>
          <w:u w:color="000000"/>
        </w:rPr>
      </w:pPr>
      <w:r w:rsidRPr="001668BD">
        <w:rPr>
          <w:color w:val="000000"/>
          <w:u w:color="000000"/>
        </w:rPr>
        <w:t>Biuro nie przyjmuje również zwierząt, które:</w:t>
      </w:r>
    </w:p>
    <w:p w14:paraId="19324868" w14:textId="196BC979"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z</w:t>
      </w:r>
      <w:r w:rsidR="001668BD" w:rsidRPr="001668BD">
        <w:rPr>
          <w:color w:val="000000"/>
          <w:u w:color="000000"/>
        </w:rPr>
        <w:t>abłąkały się lub uciekły - opiekę zapewniają schroniska</w:t>
      </w:r>
      <w:r>
        <w:rPr>
          <w:color w:val="000000"/>
          <w:u w:color="000000"/>
        </w:rPr>
        <w:t>;</w:t>
      </w:r>
    </w:p>
    <w:p w14:paraId="39108ABC" w14:textId="42F15A80" w:rsidR="001668BD" w:rsidRPr="001668BD" w:rsidRDefault="00516331" w:rsidP="00516331">
      <w:pPr>
        <w:numPr>
          <w:ilvl w:val="0"/>
          <w:numId w:val="14"/>
        </w:numPr>
        <w:tabs>
          <w:tab w:val="left" w:pos="709"/>
        </w:tabs>
        <w:ind w:left="709" w:hanging="283"/>
        <w:jc w:val="both"/>
        <w:rPr>
          <w:color w:val="000000"/>
          <w:u w:color="000000"/>
        </w:rPr>
      </w:pPr>
      <w:r>
        <w:rPr>
          <w:color w:val="000000"/>
          <w:u w:color="000000"/>
        </w:rPr>
        <w:t>s</w:t>
      </w:r>
      <w:r w:rsidR="001668BD" w:rsidRPr="001668BD">
        <w:rPr>
          <w:color w:val="000000"/>
          <w:u w:color="000000"/>
        </w:rPr>
        <w:t>ą zwierzętami bezdomnymi – opieka nad nimi spoczywa na samorządach gminnych.</w:t>
      </w:r>
    </w:p>
    <w:p w14:paraId="4AA716AD" w14:textId="77777777" w:rsidR="001668BD" w:rsidRPr="001668BD" w:rsidRDefault="001668BD" w:rsidP="001668BD">
      <w:pPr>
        <w:jc w:val="both"/>
        <w:rPr>
          <w:color w:val="000000"/>
          <w:u w:color="000000"/>
        </w:rPr>
      </w:pPr>
    </w:p>
    <w:p w14:paraId="071DD686" w14:textId="77777777" w:rsidR="001668BD" w:rsidRPr="001668BD" w:rsidRDefault="001668BD" w:rsidP="001668BD">
      <w:pPr>
        <w:jc w:val="both"/>
        <w:rPr>
          <w:color w:val="000000"/>
          <w:u w:color="000000"/>
        </w:rPr>
      </w:pPr>
      <w:r w:rsidRPr="001668BD">
        <w:rPr>
          <w:color w:val="000000"/>
          <w:u w:color="000000"/>
        </w:rPr>
        <w:t>Odmowa przyjęcia rzeczy przez Biuro uprawnia znalazcę albo właściwego zarządcę budynku, pomieszczenia albo środka transportu publicznego do postąpienia z rzeczą znalezioną wg własnego uznania.</w:t>
      </w:r>
    </w:p>
    <w:p w14:paraId="1EBB86D5" w14:textId="77777777" w:rsidR="001668BD" w:rsidRPr="001668BD" w:rsidRDefault="001668BD" w:rsidP="001668BD">
      <w:pPr>
        <w:jc w:val="both"/>
        <w:rPr>
          <w:color w:val="000000"/>
          <w:u w:color="000000"/>
        </w:rPr>
      </w:pPr>
    </w:p>
    <w:p w14:paraId="1B305D0B" w14:textId="77777777" w:rsidR="001668BD" w:rsidRPr="001668BD" w:rsidRDefault="001668BD" w:rsidP="001668BD">
      <w:pPr>
        <w:jc w:val="both"/>
        <w:rPr>
          <w:color w:val="000000"/>
          <w:u w:color="000000"/>
        </w:rPr>
      </w:pPr>
      <w:r w:rsidRPr="001668BD">
        <w:rPr>
          <w:color w:val="000000"/>
          <w:u w:color="000000"/>
        </w:rPr>
        <w:t>Odbiór rzeczy znalezionych przez osobę uprawnioną:</w:t>
      </w:r>
    </w:p>
    <w:p w14:paraId="014CEC36" w14:textId="6364549B" w:rsidR="001668BD" w:rsidRPr="001668BD" w:rsidRDefault="00707951" w:rsidP="00707951">
      <w:pPr>
        <w:numPr>
          <w:ilvl w:val="0"/>
          <w:numId w:val="11"/>
        </w:numPr>
        <w:ind w:left="426" w:hanging="426"/>
        <w:jc w:val="both"/>
        <w:rPr>
          <w:color w:val="000000"/>
          <w:u w:color="000000"/>
        </w:rPr>
      </w:pPr>
      <w:r>
        <w:rPr>
          <w:color w:val="000000"/>
          <w:u w:color="000000"/>
        </w:rPr>
        <w:t>S</w:t>
      </w:r>
      <w:r w:rsidR="001668BD" w:rsidRPr="001668BD">
        <w:rPr>
          <w:color w:val="000000"/>
          <w:u w:color="000000"/>
        </w:rPr>
        <w:t>prawdza się tożsamość osoby uprawnionej do odbioru rzeczy znalezionej (dowód osobisty, paszport);</w:t>
      </w:r>
    </w:p>
    <w:p w14:paraId="7F0E7FAC" w14:textId="1C625F49" w:rsidR="001668BD" w:rsidRDefault="00707951" w:rsidP="00707951">
      <w:pPr>
        <w:numPr>
          <w:ilvl w:val="0"/>
          <w:numId w:val="11"/>
        </w:numPr>
        <w:ind w:left="426" w:hanging="426"/>
        <w:jc w:val="both"/>
        <w:rPr>
          <w:color w:val="000000"/>
          <w:u w:color="000000"/>
        </w:rPr>
      </w:pPr>
      <w:r>
        <w:rPr>
          <w:color w:val="000000"/>
          <w:u w:color="000000"/>
        </w:rPr>
        <w:t>P</w:t>
      </w:r>
      <w:r w:rsidR="001668BD" w:rsidRPr="001668BD">
        <w:rPr>
          <w:color w:val="000000"/>
          <w:u w:color="000000"/>
        </w:rPr>
        <w:t>rzyjmuje od osoby uprawnionej do odbioru „Wniosek o wydanie rzeczy”, w którym należy podać datę i miejsce zagubienia rzeczy, jej szczegółowy opis uwzględniający cechy charakterystyczne (znalazca może przedstawić dowody stwierdzające zakup przedmiotu, numery seryjne, własne oznaczenia bądź opis widocznych środków zużycia).</w:t>
      </w:r>
    </w:p>
    <w:p w14:paraId="42963E6C" w14:textId="77777777" w:rsidR="002651D7" w:rsidRPr="001668BD" w:rsidRDefault="002651D7" w:rsidP="00FE0066">
      <w:pPr>
        <w:jc w:val="both"/>
        <w:rPr>
          <w:color w:val="000000"/>
          <w:u w:color="000000"/>
        </w:rPr>
      </w:pPr>
    </w:p>
    <w:p w14:paraId="0908222C" w14:textId="77777777" w:rsidR="002651D7" w:rsidRPr="002651D7" w:rsidRDefault="002651D7" w:rsidP="002651D7">
      <w:pPr>
        <w:jc w:val="both"/>
        <w:rPr>
          <w:color w:val="000000"/>
          <w:u w:color="000000"/>
        </w:rPr>
      </w:pPr>
      <w:r w:rsidRPr="002651D7">
        <w:rPr>
          <w:color w:val="000000"/>
          <w:u w:color="000000"/>
        </w:rPr>
        <w:t>Odbiór rzeczy znalezionych przez znalazcę:</w:t>
      </w:r>
    </w:p>
    <w:p w14:paraId="1813AF0E" w14:textId="77777777" w:rsidR="002651D7" w:rsidRPr="002651D7" w:rsidRDefault="002651D7" w:rsidP="002651D7">
      <w:pPr>
        <w:numPr>
          <w:ilvl w:val="0"/>
          <w:numId w:val="13"/>
        </w:numPr>
        <w:ind w:left="426" w:hanging="426"/>
        <w:jc w:val="both"/>
        <w:rPr>
          <w:color w:val="000000"/>
          <w:u w:color="000000"/>
        </w:rPr>
      </w:pPr>
      <w:r w:rsidRPr="002651D7">
        <w:rPr>
          <w:color w:val="000000"/>
          <w:u w:color="000000"/>
        </w:rPr>
        <w:t>W przypadku, gdy rzecz znaleziona nie zostanie odebrana przez osobę uprawnioną do jej odbioru</w:t>
      </w:r>
      <w:r w:rsidRPr="002651D7">
        <w:rPr>
          <w:color w:val="000000"/>
          <w:u w:color="000000"/>
        </w:rPr>
        <w:br/>
        <w:t>w ciągu roku od dnia doręczenia jej wezwania do odbioru, a w przypadku niemożności wezwania do odbioru – w ciągu dwóch lat od dnia znalezienia rzeczy, Biuro zawiadamia o tym znalazcę oraz wzywa go do odbioru rzeczy w terminie nie krótszym niż 14 dni, z pouczeniem, że w przypadku nieodebrania rzeczy w terminie określonym w wezwaniu jej właścicielem staje się powiat.</w:t>
      </w:r>
    </w:p>
    <w:p w14:paraId="462F60FC" w14:textId="77777777" w:rsidR="002651D7" w:rsidRPr="002651D7" w:rsidRDefault="002651D7" w:rsidP="002651D7">
      <w:pPr>
        <w:numPr>
          <w:ilvl w:val="0"/>
          <w:numId w:val="13"/>
        </w:numPr>
        <w:ind w:left="426" w:hanging="426"/>
        <w:jc w:val="both"/>
        <w:rPr>
          <w:color w:val="000000"/>
          <w:u w:color="000000"/>
        </w:rPr>
      </w:pPr>
      <w:r w:rsidRPr="002651D7">
        <w:rPr>
          <w:color w:val="000000"/>
          <w:u w:color="000000"/>
        </w:rPr>
        <w:lastRenderedPageBreak/>
        <w:t>Wydanie rzeczy dla znalazcy nastąpi po wcześniejszym poinformowaniu znalazcy o kosztach przechowywania oraz utrzymania rzeczy w należytym stanie, a także o kosztach poszukiwania osoby uprawnionej do odbioru rzeczy o ile o nie wystąpiła i po uiszczeniu przez nią tych kosztów.</w:t>
      </w:r>
    </w:p>
    <w:p w14:paraId="22A88687" w14:textId="77777777" w:rsidR="002651D7" w:rsidRPr="002651D7" w:rsidRDefault="002651D7" w:rsidP="002651D7">
      <w:pPr>
        <w:numPr>
          <w:ilvl w:val="0"/>
          <w:numId w:val="13"/>
        </w:numPr>
        <w:ind w:left="426" w:hanging="426"/>
        <w:jc w:val="both"/>
        <w:rPr>
          <w:color w:val="000000"/>
          <w:u w:color="000000"/>
        </w:rPr>
      </w:pPr>
      <w:r w:rsidRPr="002651D7">
        <w:rPr>
          <w:color w:val="000000"/>
          <w:u w:color="000000"/>
        </w:rPr>
        <w:t>Rzecz znaleziona będąca zabytkiem lub materiałem archiwalnym po upływie terminu jej odebrania przez osobę uprawnioną staje się własnością Skarbu Państwa.</w:t>
      </w:r>
    </w:p>
    <w:p w14:paraId="363DC0DC" w14:textId="77777777" w:rsidR="002651D7" w:rsidRPr="002651D7" w:rsidRDefault="002651D7" w:rsidP="002651D7">
      <w:pPr>
        <w:numPr>
          <w:ilvl w:val="0"/>
          <w:numId w:val="13"/>
        </w:numPr>
        <w:ind w:left="426" w:hanging="426"/>
        <w:jc w:val="both"/>
        <w:rPr>
          <w:color w:val="000000"/>
          <w:u w:color="000000"/>
        </w:rPr>
      </w:pPr>
      <w:r w:rsidRPr="002651D7">
        <w:rPr>
          <w:color w:val="000000"/>
          <w:u w:color="000000"/>
        </w:rPr>
        <w:t>Inne rzeczy znalezione stają się własnością powiatu po upływie terminu do ich odbioru przez znalazcę.</w:t>
      </w:r>
    </w:p>
    <w:p w14:paraId="0AEBF1BE" w14:textId="77777777" w:rsidR="002651D7" w:rsidRDefault="002651D7" w:rsidP="001668BD">
      <w:pPr>
        <w:spacing w:before="120" w:after="120"/>
        <w:jc w:val="both"/>
        <w:rPr>
          <w:color w:val="000000"/>
          <w:u w:color="000000"/>
        </w:rPr>
      </w:pPr>
    </w:p>
    <w:sectPr w:rsidR="002651D7">
      <w:pgSz w:w="11906" w:h="16838"/>
      <w:pgMar w:top="1417" w:right="850" w:bottom="1417" w:left="85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60"/>
    <w:multiLevelType w:val="hybridMultilevel"/>
    <w:tmpl w:val="D45A2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7407EC"/>
    <w:multiLevelType w:val="hybridMultilevel"/>
    <w:tmpl w:val="49C47A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3C252D"/>
    <w:multiLevelType w:val="hybridMultilevel"/>
    <w:tmpl w:val="D45A2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771768"/>
    <w:multiLevelType w:val="hybridMultilevel"/>
    <w:tmpl w:val="49C47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F51390"/>
    <w:multiLevelType w:val="hybridMultilevel"/>
    <w:tmpl w:val="49C47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80A7D"/>
    <w:multiLevelType w:val="hybridMultilevel"/>
    <w:tmpl w:val="058895F4"/>
    <w:lvl w:ilvl="0" w:tplc="F4C6D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A36FE1"/>
    <w:multiLevelType w:val="hybridMultilevel"/>
    <w:tmpl w:val="D45A2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804A2B"/>
    <w:multiLevelType w:val="hybridMultilevel"/>
    <w:tmpl w:val="4F0AB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B6DB6"/>
    <w:multiLevelType w:val="hybridMultilevel"/>
    <w:tmpl w:val="49C47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8326DE"/>
    <w:multiLevelType w:val="hybridMultilevel"/>
    <w:tmpl w:val="D45A2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167524"/>
    <w:multiLevelType w:val="hybridMultilevel"/>
    <w:tmpl w:val="5160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527C76"/>
    <w:multiLevelType w:val="hybridMultilevel"/>
    <w:tmpl w:val="49C47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8A5C82"/>
    <w:multiLevelType w:val="hybridMultilevel"/>
    <w:tmpl w:val="F8E04986"/>
    <w:lvl w:ilvl="0" w:tplc="F4C6D23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1D5987"/>
    <w:multiLevelType w:val="hybridMultilevel"/>
    <w:tmpl w:val="D45A2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1435410">
    <w:abstractNumId w:val="10"/>
  </w:num>
  <w:num w:numId="2" w16cid:durableId="268244802">
    <w:abstractNumId w:val="7"/>
  </w:num>
  <w:num w:numId="3" w16cid:durableId="1048919500">
    <w:abstractNumId w:val="5"/>
  </w:num>
  <w:num w:numId="4" w16cid:durableId="2021665267">
    <w:abstractNumId w:val="8"/>
  </w:num>
  <w:num w:numId="5" w16cid:durableId="122772271">
    <w:abstractNumId w:val="4"/>
  </w:num>
  <w:num w:numId="6" w16cid:durableId="1827547498">
    <w:abstractNumId w:val="3"/>
  </w:num>
  <w:num w:numId="7" w16cid:durableId="309486188">
    <w:abstractNumId w:val="11"/>
  </w:num>
  <w:num w:numId="8" w16cid:durableId="747505687">
    <w:abstractNumId w:val="2"/>
  </w:num>
  <w:num w:numId="9" w16cid:durableId="1380007273">
    <w:abstractNumId w:val="0"/>
  </w:num>
  <w:num w:numId="10" w16cid:durableId="1669551507">
    <w:abstractNumId w:val="6"/>
  </w:num>
  <w:num w:numId="11" w16cid:durableId="1243947020">
    <w:abstractNumId w:val="9"/>
  </w:num>
  <w:num w:numId="12" w16cid:durableId="1160341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3666500">
    <w:abstractNumId w:val="13"/>
  </w:num>
  <w:num w:numId="14" w16cid:durableId="1071151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E"/>
    <w:rsid w:val="001668BD"/>
    <w:rsid w:val="002651D7"/>
    <w:rsid w:val="00281192"/>
    <w:rsid w:val="0034384E"/>
    <w:rsid w:val="00516331"/>
    <w:rsid w:val="005C5016"/>
    <w:rsid w:val="00707951"/>
    <w:rsid w:val="00831C1E"/>
    <w:rsid w:val="00A57DB1"/>
    <w:rsid w:val="00A81FE9"/>
    <w:rsid w:val="00B14941"/>
    <w:rsid w:val="00CA71CC"/>
    <w:rsid w:val="00ED43CF"/>
    <w:rsid w:val="00F2095D"/>
    <w:rsid w:val="00FE00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F3D4"/>
  <w15:docId w15:val="{0DEA7412-63A4-43C3-9147-62394BD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center"/>
    </w:pPr>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character" w:styleId="Hipercze">
    <w:name w:val="Hyperlink"/>
    <w:basedOn w:val="Domylnaczcionkaakapitu"/>
    <w:rsid w:val="00B14941"/>
    <w:rPr>
      <w:color w:val="0000FF" w:themeColor="hyperlink"/>
      <w:u w:val="single"/>
    </w:rPr>
  </w:style>
  <w:style w:type="character" w:styleId="Nierozpoznanawzmianka">
    <w:name w:val="Unresolved Mention"/>
    <w:basedOn w:val="Domylnaczcionkaakapitu"/>
    <w:uiPriority w:val="99"/>
    <w:semiHidden/>
    <w:unhideWhenUsed/>
    <w:rsid w:val="00B14941"/>
    <w:rPr>
      <w:color w:val="605E5C"/>
      <w:shd w:val="clear" w:color="auto" w:fill="E1DFDD"/>
    </w:rPr>
  </w:style>
  <w:style w:type="paragraph" w:styleId="Akapitzlist">
    <w:name w:val="List Paragraph"/>
    <w:basedOn w:val="Normalny"/>
    <w:uiPriority w:val="34"/>
    <w:qFormat/>
    <w:rsid w:val="0034384E"/>
    <w:pPr>
      <w:suppressAutoHyphens w:val="0"/>
      <w:spacing w:after="160" w:line="259" w:lineRule="auto"/>
      <w:ind w:left="720"/>
      <w:contextualSpacing/>
      <w:jc w:val="left"/>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ywatelski@powiatrawick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Zarządzenie Nr 61/22 Starosty Rawickiego z dnia 27 grudnia 2022 r.</vt:lpstr>
    </vt:vector>
  </TitlesOfParts>
  <Company>Starosta Rawicki</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61/22 Starosty Rawickiego z dnia 27 grudnia 2022 r.</dc:title>
  <dc:subject>w sprawie wprowadzenia Regulaminu określającego zasady opracowywania i^aktualizacji kart usług w^Starostwie Powiatowym w^Rawiczu.</dc:subject>
  <dc:creator>mpawlicki</dc:creator>
  <dc:description/>
  <cp:lastModifiedBy>Tomasz Szajerka</cp:lastModifiedBy>
  <cp:revision>2</cp:revision>
  <dcterms:created xsi:type="dcterms:W3CDTF">2023-12-01T10:41:00Z</dcterms:created>
  <dcterms:modified xsi:type="dcterms:W3CDTF">2023-12-01T10:41:00Z</dcterms:modified>
  <cp:category>Akt prawny</cp:category>
  <dc:language>pl-PL</dc:language>
</cp:coreProperties>
</file>